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335BEC" w14:textId="77777777" w:rsidR="005605E9" w:rsidRPr="005605E9" w:rsidRDefault="005605E9" w:rsidP="005605E9">
      <w:pPr>
        <w:spacing w:after="0" w:line="360" w:lineRule="auto"/>
        <w:jc w:val="center"/>
        <w:rPr>
          <w:rFonts w:ascii="Times New Roman" w:eastAsia="Calibri" w:hAnsi="Times New Roman" w:cs="Times New Roman"/>
          <w:b/>
          <w:color w:val="0D0D0D"/>
          <w:sz w:val="28"/>
          <w:szCs w:val="28"/>
        </w:rPr>
      </w:pPr>
      <w:r w:rsidRPr="005605E9">
        <w:rPr>
          <w:rFonts w:ascii="Calibri" w:eastAsia="Calibri" w:hAnsi="Calibri" w:cs="Times New Roman"/>
          <w:b/>
          <w:noProof/>
          <w:color w:val="000000"/>
          <w:sz w:val="28"/>
          <w:szCs w:val="28"/>
        </w:rPr>
        <w:object w:dxaOrig="1162" w:dyaOrig="1459" w14:anchorId="0AC791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58.8pt;height:60pt;mso-width-percent:0;mso-height-percent:0;mso-width-percent:0;mso-height-percent:0" o:ole="" fillcolor="window">
            <v:imagedata r:id="rId9" o:title=""/>
          </v:shape>
          <o:OLEObject Type="Embed" ProgID="Word.Picture.8" ShapeID="_x0000_i1025" DrawAspect="Content" ObjectID="_1799494642" r:id="rId10"/>
        </w:object>
      </w:r>
    </w:p>
    <w:p w14:paraId="3E5A2CA6" w14:textId="77777777" w:rsidR="005605E9" w:rsidRPr="005605E9" w:rsidRDefault="005605E9" w:rsidP="005605E9">
      <w:pPr>
        <w:spacing w:after="0" w:line="240" w:lineRule="auto"/>
        <w:jc w:val="center"/>
        <w:rPr>
          <w:rFonts w:ascii="Times New Roman" w:eastAsia="Calibri" w:hAnsi="Times New Roman" w:cs="Times New Roman"/>
          <w:bCs/>
          <w:color w:val="0D0D0D"/>
          <w:sz w:val="28"/>
          <w:szCs w:val="28"/>
        </w:rPr>
      </w:pPr>
      <w:r w:rsidRPr="005605E9">
        <w:rPr>
          <w:rFonts w:ascii="Times New Roman" w:eastAsia="Calibri" w:hAnsi="Times New Roman" w:cs="Times New Roman"/>
          <w:bCs/>
          <w:color w:val="0D0D0D"/>
          <w:sz w:val="28"/>
          <w:szCs w:val="28"/>
        </w:rPr>
        <w:t>Національна академія правових наук України</w:t>
      </w:r>
    </w:p>
    <w:p w14:paraId="246FB3D3" w14:textId="77777777" w:rsidR="005605E9" w:rsidRPr="005605E9" w:rsidRDefault="005605E9" w:rsidP="005605E9">
      <w:pPr>
        <w:spacing w:after="0" w:line="240" w:lineRule="auto"/>
        <w:jc w:val="center"/>
        <w:rPr>
          <w:rFonts w:ascii="Times New Roman" w:eastAsia="Calibri" w:hAnsi="Times New Roman" w:cs="Times New Roman"/>
          <w:b/>
          <w:color w:val="0D0D0D"/>
          <w:sz w:val="28"/>
          <w:szCs w:val="28"/>
        </w:rPr>
      </w:pPr>
      <w:r w:rsidRPr="005605E9">
        <w:rPr>
          <w:rFonts w:ascii="Times New Roman" w:eastAsia="Calibri" w:hAnsi="Times New Roman" w:cs="Times New Roman"/>
          <w:b/>
          <w:color w:val="0D0D0D"/>
          <w:sz w:val="28"/>
          <w:szCs w:val="28"/>
        </w:rPr>
        <w:t>НАУКОВО-ДОСЛІДНИЙ ІНСТИТУТ</w:t>
      </w:r>
    </w:p>
    <w:p w14:paraId="6C525F1F" w14:textId="77777777" w:rsidR="005605E9" w:rsidRPr="005605E9" w:rsidRDefault="005605E9" w:rsidP="005605E9">
      <w:pPr>
        <w:spacing w:after="0" w:line="240" w:lineRule="auto"/>
        <w:jc w:val="center"/>
        <w:rPr>
          <w:rFonts w:ascii="Times New Roman" w:eastAsia="Calibri" w:hAnsi="Times New Roman" w:cs="Times New Roman"/>
          <w:b/>
          <w:color w:val="0D0D0D"/>
          <w:sz w:val="28"/>
          <w:szCs w:val="28"/>
        </w:rPr>
      </w:pPr>
      <w:r w:rsidRPr="005605E9">
        <w:rPr>
          <w:rFonts w:ascii="Times New Roman" w:eastAsia="Calibri" w:hAnsi="Times New Roman" w:cs="Times New Roman"/>
          <w:b/>
          <w:color w:val="0D0D0D"/>
          <w:sz w:val="28"/>
          <w:szCs w:val="28"/>
        </w:rPr>
        <w:t>ПРИВАТНОГО ПРАВА І ПІДПРИЄМНИЦТВА</w:t>
      </w:r>
    </w:p>
    <w:p w14:paraId="2F180E51" w14:textId="77777777" w:rsidR="005605E9" w:rsidRPr="005605E9" w:rsidRDefault="005605E9" w:rsidP="005605E9">
      <w:pPr>
        <w:spacing w:after="0" w:line="240" w:lineRule="auto"/>
        <w:jc w:val="center"/>
        <w:rPr>
          <w:rFonts w:ascii="Times New Roman" w:eastAsia="Calibri" w:hAnsi="Times New Roman" w:cs="Times New Roman"/>
          <w:b/>
          <w:color w:val="0D0D0D"/>
          <w:sz w:val="28"/>
          <w:szCs w:val="28"/>
        </w:rPr>
      </w:pPr>
      <w:r w:rsidRPr="005605E9">
        <w:rPr>
          <w:rFonts w:ascii="Times New Roman" w:eastAsia="Calibri" w:hAnsi="Times New Roman" w:cs="Times New Roman"/>
          <w:b/>
          <w:color w:val="0D0D0D"/>
          <w:sz w:val="28"/>
          <w:szCs w:val="28"/>
        </w:rPr>
        <w:t>ІМЕНІ АКАДЕМІКА Ф. Г. БУРЧАКА</w:t>
      </w:r>
    </w:p>
    <w:p w14:paraId="48E9FC30" w14:textId="77777777" w:rsidR="005605E9" w:rsidRPr="00261C8B" w:rsidRDefault="005605E9" w:rsidP="005605E9">
      <w:pPr>
        <w:spacing w:after="0" w:line="240" w:lineRule="auto"/>
        <w:jc w:val="center"/>
        <w:rPr>
          <w:rFonts w:ascii="Times New Roman" w:eastAsia="Calibri" w:hAnsi="Times New Roman" w:cs="Times New Roman"/>
          <w:bCs/>
          <w:color w:val="0D0D0D"/>
          <w:szCs w:val="28"/>
        </w:rPr>
      </w:pPr>
      <w:r w:rsidRPr="00261C8B">
        <w:rPr>
          <w:rFonts w:ascii="Times New Roman" w:eastAsia="Calibri" w:hAnsi="Times New Roman" w:cs="Times New Roman"/>
          <w:bCs/>
          <w:color w:val="0D0D0D"/>
          <w:szCs w:val="28"/>
        </w:rPr>
        <w:t>Україна, 01042, Київ, вул. М. Раєвського, 23а, код 19485263</w:t>
      </w:r>
    </w:p>
    <w:p w14:paraId="537C9135" w14:textId="77777777" w:rsidR="005605E9" w:rsidRPr="00261C8B" w:rsidRDefault="005605E9" w:rsidP="005605E9">
      <w:pPr>
        <w:spacing w:after="0" w:line="240" w:lineRule="auto"/>
        <w:jc w:val="center"/>
        <w:rPr>
          <w:rFonts w:ascii="Times New Roman" w:eastAsia="Calibri" w:hAnsi="Times New Roman" w:cs="Times New Roman"/>
          <w:bCs/>
          <w:color w:val="0D0D0D"/>
          <w:szCs w:val="28"/>
        </w:rPr>
      </w:pPr>
      <w:proofErr w:type="spellStart"/>
      <w:r w:rsidRPr="00261C8B">
        <w:rPr>
          <w:rFonts w:ascii="Times New Roman" w:eastAsia="Calibri" w:hAnsi="Times New Roman" w:cs="Times New Roman"/>
          <w:bCs/>
          <w:color w:val="0D0D0D"/>
          <w:szCs w:val="28"/>
        </w:rPr>
        <w:t>Тел</w:t>
      </w:r>
      <w:proofErr w:type="spellEnd"/>
      <w:r w:rsidRPr="00261C8B">
        <w:rPr>
          <w:rFonts w:ascii="Times New Roman" w:eastAsia="Calibri" w:hAnsi="Times New Roman" w:cs="Times New Roman"/>
          <w:bCs/>
          <w:color w:val="0D0D0D"/>
          <w:szCs w:val="28"/>
        </w:rPr>
        <w:t>.: (044) 286-70-98   Факс: (044) 284-87-35</w:t>
      </w:r>
    </w:p>
    <w:p w14:paraId="6CDB7AF0" w14:textId="77777777" w:rsidR="005605E9" w:rsidRPr="00261C8B" w:rsidRDefault="005605E9" w:rsidP="005605E9">
      <w:pPr>
        <w:spacing w:after="0" w:line="240" w:lineRule="auto"/>
        <w:jc w:val="center"/>
        <w:rPr>
          <w:rFonts w:ascii="Times New Roman" w:eastAsia="Calibri" w:hAnsi="Times New Roman" w:cs="Times New Roman"/>
          <w:bCs/>
          <w:color w:val="0D0D0D"/>
          <w:szCs w:val="28"/>
        </w:rPr>
      </w:pPr>
      <w:r w:rsidRPr="00261C8B">
        <w:rPr>
          <w:rFonts w:ascii="Times New Roman" w:eastAsia="Calibri" w:hAnsi="Times New Roman" w:cs="Times New Roman"/>
          <w:bCs/>
          <w:color w:val="0D0D0D"/>
          <w:szCs w:val="28"/>
        </w:rPr>
        <w:t>E-</w:t>
      </w:r>
      <w:proofErr w:type="spellStart"/>
      <w:r w:rsidRPr="00261C8B">
        <w:rPr>
          <w:rFonts w:ascii="Times New Roman" w:eastAsia="Calibri" w:hAnsi="Times New Roman" w:cs="Times New Roman"/>
          <w:bCs/>
          <w:color w:val="0D0D0D"/>
          <w:szCs w:val="28"/>
        </w:rPr>
        <w:t>Mail</w:t>
      </w:r>
      <w:proofErr w:type="spellEnd"/>
      <w:r w:rsidRPr="00261C8B">
        <w:rPr>
          <w:rFonts w:ascii="Times New Roman" w:eastAsia="Calibri" w:hAnsi="Times New Roman" w:cs="Times New Roman"/>
          <w:bCs/>
          <w:color w:val="0D0D0D"/>
          <w:szCs w:val="28"/>
        </w:rPr>
        <w:t>: ndippp@adamant.net</w:t>
      </w:r>
      <w:bookmarkStart w:id="0" w:name="_GoBack"/>
      <w:bookmarkEnd w:id="0"/>
    </w:p>
    <w:p w14:paraId="3B083D7A" w14:textId="77777777" w:rsidR="005605E9" w:rsidRPr="005605E9" w:rsidRDefault="005605E9" w:rsidP="005605E9">
      <w:pPr>
        <w:spacing w:after="0" w:line="360" w:lineRule="auto"/>
        <w:jc w:val="center"/>
        <w:rPr>
          <w:rFonts w:ascii="Times New Roman" w:eastAsia="Calibri" w:hAnsi="Times New Roman" w:cs="Times New Roman"/>
          <w:b/>
          <w:color w:val="0D0D0D"/>
          <w:sz w:val="28"/>
          <w:szCs w:val="28"/>
        </w:rPr>
      </w:pPr>
      <w:r w:rsidRPr="005605E9">
        <w:rPr>
          <w:rFonts w:ascii="Times New Roman" w:eastAsia="Calibri" w:hAnsi="Times New Roman" w:cs="Times New Roman"/>
          <w:b/>
          <w:noProof/>
          <w:color w:val="0D0D0D"/>
          <w:sz w:val="28"/>
          <w:szCs w:val="28"/>
          <w:lang w:eastAsia="uk-UA"/>
        </w:rPr>
        <w:drawing>
          <wp:inline distT="0" distB="0" distL="0" distR="0" wp14:anchorId="61437E50" wp14:editId="7551A3B8">
            <wp:extent cx="6279515" cy="30480"/>
            <wp:effectExtent l="0" t="0" r="6985"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79515" cy="30480"/>
                    </a:xfrm>
                    <a:prstGeom prst="rect">
                      <a:avLst/>
                    </a:prstGeom>
                    <a:noFill/>
                  </pic:spPr>
                </pic:pic>
              </a:graphicData>
            </a:graphic>
          </wp:inline>
        </w:drawing>
      </w:r>
    </w:p>
    <w:p w14:paraId="462B4790" w14:textId="21B54764" w:rsidR="005605E9" w:rsidRPr="005605E9" w:rsidRDefault="00261C8B" w:rsidP="00806A12">
      <w:pPr>
        <w:spacing w:after="0" w:line="360" w:lineRule="auto"/>
        <w:rPr>
          <w:rFonts w:ascii="Times New Roman" w:eastAsia="Calibri" w:hAnsi="Times New Roman" w:cs="Times New Roman"/>
          <w:b/>
          <w:color w:val="0D0D0D"/>
          <w:sz w:val="28"/>
          <w:szCs w:val="28"/>
        </w:rPr>
      </w:pPr>
      <w:r>
        <w:rPr>
          <w:rFonts w:ascii="Times New Roman" w:eastAsia="Calibri" w:hAnsi="Times New Roman" w:cs="Times New Roman"/>
          <w:b/>
          <w:color w:val="0D0D0D"/>
          <w:sz w:val="28"/>
          <w:szCs w:val="28"/>
        </w:rPr>
        <w:t>24 січня 2025 року № 01-9/1-14</w:t>
      </w:r>
    </w:p>
    <w:p w14:paraId="33E062D0" w14:textId="167A25A5" w:rsidR="00261C8B" w:rsidRDefault="005605E9" w:rsidP="00851DCD">
      <w:pPr>
        <w:spacing w:after="200" w:line="240" w:lineRule="auto"/>
        <w:ind w:left="5670"/>
        <w:rPr>
          <w:rFonts w:ascii="Times New Roman" w:eastAsia="Calibri" w:hAnsi="Times New Roman" w:cs="Times New Roman"/>
          <w:b/>
          <w:color w:val="000000"/>
          <w:sz w:val="28"/>
          <w:szCs w:val="28"/>
        </w:rPr>
      </w:pPr>
      <w:r w:rsidRPr="005605E9">
        <w:rPr>
          <w:rFonts w:ascii="Times New Roman" w:eastAsia="Calibri" w:hAnsi="Times New Roman" w:cs="Times New Roman"/>
          <w:b/>
          <w:color w:val="000000"/>
          <w:sz w:val="28"/>
          <w:szCs w:val="28"/>
        </w:rPr>
        <w:t xml:space="preserve">Вченому секретарю   </w:t>
      </w:r>
      <w:r w:rsidR="00261C8B" w:rsidRPr="00261C8B">
        <w:rPr>
          <w:rFonts w:ascii="Times New Roman" w:eastAsia="Calibri" w:hAnsi="Times New Roman" w:cs="Times New Roman"/>
          <w:b/>
          <w:color w:val="000000"/>
          <w:sz w:val="28"/>
          <w:szCs w:val="28"/>
        </w:rPr>
        <w:t>Науково-консультативної ради</w:t>
      </w:r>
      <w:r w:rsidR="00261C8B">
        <w:rPr>
          <w:rFonts w:ascii="Times New Roman" w:eastAsia="Calibri" w:hAnsi="Times New Roman" w:cs="Times New Roman"/>
          <w:b/>
          <w:color w:val="000000"/>
          <w:sz w:val="28"/>
          <w:szCs w:val="28"/>
        </w:rPr>
        <w:t xml:space="preserve"> Верховного Суду</w:t>
      </w:r>
    </w:p>
    <w:p w14:paraId="05653BC7" w14:textId="2783ABA0" w:rsidR="005605E9" w:rsidRPr="005605E9" w:rsidRDefault="005605E9" w:rsidP="00851DCD">
      <w:pPr>
        <w:spacing w:after="200" w:line="240" w:lineRule="auto"/>
        <w:ind w:left="5670"/>
        <w:rPr>
          <w:rFonts w:ascii="Times New Roman" w:eastAsia="Calibri" w:hAnsi="Times New Roman" w:cs="Times New Roman"/>
          <w:b/>
          <w:color w:val="000000"/>
          <w:sz w:val="28"/>
          <w:szCs w:val="28"/>
        </w:rPr>
      </w:pPr>
      <w:r w:rsidRPr="005605E9">
        <w:rPr>
          <w:rFonts w:ascii="Times New Roman" w:eastAsia="Calibri" w:hAnsi="Times New Roman" w:cs="Times New Roman"/>
          <w:b/>
          <w:color w:val="000000"/>
          <w:sz w:val="28"/>
          <w:szCs w:val="28"/>
        </w:rPr>
        <w:t xml:space="preserve">Олегу ТКАЧУКУ </w:t>
      </w:r>
    </w:p>
    <w:p w14:paraId="17B2FA51" w14:textId="77777777" w:rsidR="005605E9" w:rsidRPr="005605E9" w:rsidRDefault="005605E9" w:rsidP="005605E9">
      <w:pPr>
        <w:spacing w:after="200" w:line="240" w:lineRule="auto"/>
        <w:ind w:left="5670"/>
        <w:jc w:val="both"/>
        <w:rPr>
          <w:rFonts w:ascii="Times New Roman" w:eastAsia="Calibri" w:hAnsi="Times New Roman" w:cs="Times New Roman"/>
          <w:b/>
          <w:color w:val="000000"/>
          <w:sz w:val="28"/>
          <w:szCs w:val="28"/>
          <w:lang w:val="en-US"/>
        </w:rPr>
      </w:pPr>
    </w:p>
    <w:p w14:paraId="4839B1AB" w14:textId="77777777" w:rsidR="005605E9" w:rsidRPr="005605E9" w:rsidRDefault="005605E9" w:rsidP="005605E9">
      <w:pPr>
        <w:spacing w:after="200" w:line="240" w:lineRule="auto"/>
        <w:ind w:right="4820"/>
        <w:rPr>
          <w:rFonts w:ascii="Times New Roman" w:eastAsia="Calibri" w:hAnsi="Times New Roman" w:cs="Times New Roman"/>
          <w:b/>
          <w:color w:val="000000"/>
          <w:sz w:val="28"/>
          <w:szCs w:val="28"/>
        </w:rPr>
      </w:pPr>
      <w:r w:rsidRPr="005605E9">
        <w:rPr>
          <w:rFonts w:ascii="Times New Roman" w:eastAsia="Calibri" w:hAnsi="Times New Roman" w:cs="Times New Roman"/>
          <w:b/>
          <w:color w:val="000000"/>
          <w:sz w:val="28"/>
          <w:szCs w:val="28"/>
        </w:rPr>
        <w:t xml:space="preserve">Відповідь на звернення </w:t>
      </w:r>
      <w:r w:rsidRPr="005605E9">
        <w:rPr>
          <w:rFonts w:ascii="Times New Roman" w:eastAsia="Calibri" w:hAnsi="Times New Roman" w:cs="Times New Roman"/>
          <w:b/>
          <w:color w:val="000000"/>
          <w:sz w:val="28"/>
          <w:szCs w:val="28"/>
        </w:rPr>
        <w:br/>
        <w:t xml:space="preserve">судді Великої Палати </w:t>
      </w:r>
      <w:r w:rsidRPr="005605E9">
        <w:rPr>
          <w:rFonts w:ascii="Times New Roman" w:eastAsia="Calibri" w:hAnsi="Times New Roman" w:cs="Times New Roman"/>
          <w:b/>
          <w:color w:val="000000"/>
          <w:sz w:val="28"/>
          <w:szCs w:val="28"/>
        </w:rPr>
        <w:br/>
        <w:t xml:space="preserve">Верховного Суду Ткача І. В. </w:t>
      </w:r>
      <w:r w:rsidRPr="005605E9">
        <w:rPr>
          <w:rFonts w:ascii="Times New Roman" w:eastAsia="Calibri" w:hAnsi="Times New Roman" w:cs="Times New Roman"/>
          <w:b/>
          <w:color w:val="000000"/>
          <w:sz w:val="28"/>
          <w:szCs w:val="28"/>
        </w:rPr>
        <w:br/>
        <w:t>щодо надання наукового висновку  у провадженні № 12-25гс24</w:t>
      </w:r>
    </w:p>
    <w:p w14:paraId="6861C875" w14:textId="77777777" w:rsidR="005605E9" w:rsidRPr="005605E9" w:rsidRDefault="005605E9" w:rsidP="005605E9">
      <w:pPr>
        <w:spacing w:after="0" w:line="276" w:lineRule="auto"/>
        <w:rPr>
          <w:rFonts w:ascii="Times New Roman" w:eastAsia="Calibri" w:hAnsi="Times New Roman" w:cs="Times New Roman"/>
          <w:b/>
          <w:color w:val="0D0D0D"/>
          <w:sz w:val="28"/>
          <w:szCs w:val="28"/>
        </w:rPr>
      </w:pPr>
    </w:p>
    <w:p w14:paraId="0A541A75" w14:textId="77777777" w:rsidR="005605E9" w:rsidRPr="005605E9" w:rsidRDefault="005605E9" w:rsidP="005605E9">
      <w:pPr>
        <w:spacing w:after="0" w:line="276" w:lineRule="auto"/>
        <w:jc w:val="center"/>
        <w:rPr>
          <w:rFonts w:ascii="Times New Roman" w:eastAsia="Calibri" w:hAnsi="Times New Roman" w:cs="Times New Roman"/>
          <w:b/>
          <w:color w:val="0D0D0D"/>
          <w:sz w:val="28"/>
          <w:szCs w:val="28"/>
        </w:rPr>
      </w:pPr>
      <w:r w:rsidRPr="005605E9">
        <w:rPr>
          <w:rFonts w:ascii="Times New Roman" w:eastAsia="Calibri" w:hAnsi="Times New Roman" w:cs="Times New Roman"/>
          <w:b/>
          <w:color w:val="0D0D0D"/>
          <w:sz w:val="28"/>
          <w:szCs w:val="28"/>
        </w:rPr>
        <w:t>НАУКОВИЙ ВИСНОВОК</w:t>
      </w:r>
    </w:p>
    <w:p w14:paraId="5787A7D6" w14:textId="77777777" w:rsidR="005605E9" w:rsidRPr="005605E9" w:rsidRDefault="005605E9" w:rsidP="005605E9">
      <w:pPr>
        <w:spacing w:after="0" w:line="276" w:lineRule="auto"/>
        <w:jc w:val="center"/>
        <w:rPr>
          <w:rFonts w:ascii="Times New Roman" w:eastAsia="Calibri" w:hAnsi="Times New Roman" w:cs="Times New Roman"/>
          <w:b/>
          <w:bCs/>
          <w:i/>
          <w:iCs/>
          <w:color w:val="0D0D0D"/>
          <w:sz w:val="28"/>
          <w:szCs w:val="28"/>
        </w:rPr>
      </w:pPr>
      <w:r w:rsidRPr="005605E9">
        <w:rPr>
          <w:rFonts w:ascii="Times New Roman" w:eastAsia="Calibri" w:hAnsi="Times New Roman" w:cs="Times New Roman"/>
          <w:b/>
          <w:bCs/>
          <w:i/>
          <w:iCs/>
          <w:color w:val="0D0D0D"/>
          <w:sz w:val="28"/>
          <w:szCs w:val="28"/>
        </w:rPr>
        <w:t xml:space="preserve">стосовно питань визнання недійсним договору дарування та </w:t>
      </w:r>
    </w:p>
    <w:p w14:paraId="0A3E9277" w14:textId="77777777" w:rsidR="005605E9" w:rsidRPr="005605E9" w:rsidRDefault="005605E9" w:rsidP="005605E9">
      <w:pPr>
        <w:spacing w:after="0" w:line="276" w:lineRule="auto"/>
        <w:jc w:val="center"/>
        <w:rPr>
          <w:rFonts w:ascii="Times New Roman" w:eastAsia="Calibri" w:hAnsi="Times New Roman" w:cs="Times New Roman"/>
          <w:b/>
          <w:bCs/>
          <w:i/>
          <w:iCs/>
          <w:color w:val="0D0D0D"/>
          <w:sz w:val="28"/>
          <w:szCs w:val="28"/>
        </w:rPr>
      </w:pPr>
      <w:r w:rsidRPr="005605E9">
        <w:rPr>
          <w:rFonts w:ascii="Times New Roman" w:eastAsia="Calibri" w:hAnsi="Times New Roman" w:cs="Times New Roman"/>
          <w:b/>
          <w:bCs/>
          <w:i/>
          <w:iCs/>
          <w:color w:val="0D0D0D"/>
          <w:sz w:val="28"/>
          <w:szCs w:val="28"/>
        </w:rPr>
        <w:t>скасування державної реєстрації</w:t>
      </w:r>
    </w:p>
    <w:p w14:paraId="1D858AEB" w14:textId="77777777" w:rsidR="005605E9" w:rsidRPr="005605E9" w:rsidRDefault="005605E9" w:rsidP="005605E9">
      <w:pPr>
        <w:spacing w:after="0" w:line="240" w:lineRule="auto"/>
        <w:ind w:left="360"/>
        <w:jc w:val="both"/>
        <w:rPr>
          <w:rFonts w:ascii="Times New Roman" w:eastAsia="Calibri" w:hAnsi="Times New Roman" w:cs="Times New Roman"/>
          <w:color w:val="0D0D0D"/>
          <w:sz w:val="28"/>
          <w:szCs w:val="28"/>
        </w:rPr>
      </w:pPr>
    </w:p>
    <w:p w14:paraId="272F08E1" w14:textId="77777777" w:rsidR="005605E9" w:rsidRPr="00851DCD" w:rsidRDefault="005605E9" w:rsidP="005605E9">
      <w:pPr>
        <w:spacing w:after="0" w:line="360" w:lineRule="auto"/>
        <w:jc w:val="center"/>
        <w:rPr>
          <w:rFonts w:ascii="Times New Roman" w:eastAsia="Calibri" w:hAnsi="Times New Roman" w:cs="Times New Roman"/>
          <w:b/>
          <w:color w:val="0D0D0D"/>
          <w:sz w:val="28"/>
          <w:szCs w:val="28"/>
          <w:lang w:val="en-US"/>
        </w:rPr>
      </w:pPr>
      <w:r w:rsidRPr="005605E9">
        <w:rPr>
          <w:rFonts w:ascii="Times New Roman" w:eastAsia="Calibri" w:hAnsi="Times New Roman" w:cs="Times New Roman"/>
          <w:b/>
          <w:color w:val="0D0D0D"/>
          <w:sz w:val="28"/>
          <w:szCs w:val="28"/>
        </w:rPr>
        <w:t>І.</w:t>
      </w:r>
    </w:p>
    <w:p w14:paraId="5274595B" w14:textId="77777777" w:rsidR="005605E9" w:rsidRPr="005605E9" w:rsidRDefault="005605E9" w:rsidP="005605E9">
      <w:pPr>
        <w:spacing w:after="200" w:line="360" w:lineRule="auto"/>
        <w:jc w:val="center"/>
        <w:rPr>
          <w:rFonts w:ascii="Times New Roman" w:eastAsia="Calibri" w:hAnsi="Times New Roman" w:cs="Times New Roman"/>
          <w:b/>
          <w:color w:val="000000"/>
          <w:sz w:val="28"/>
          <w:szCs w:val="28"/>
        </w:rPr>
      </w:pPr>
      <w:r w:rsidRPr="005605E9">
        <w:rPr>
          <w:rFonts w:ascii="Times New Roman" w:eastAsia="Calibri" w:hAnsi="Times New Roman" w:cs="Times New Roman"/>
          <w:b/>
          <w:color w:val="000000"/>
          <w:sz w:val="28"/>
          <w:szCs w:val="28"/>
        </w:rPr>
        <w:t>І. Предмет наукового дослідження</w:t>
      </w:r>
    </w:p>
    <w:p w14:paraId="5494EC0C" w14:textId="77777777" w:rsidR="005605E9" w:rsidRPr="005605E9" w:rsidRDefault="005605E9" w:rsidP="005605E9">
      <w:pPr>
        <w:spacing w:after="0" w:line="360" w:lineRule="auto"/>
        <w:ind w:firstLine="709"/>
        <w:jc w:val="both"/>
        <w:rPr>
          <w:rFonts w:ascii="Times New Roman" w:eastAsia="Calibri" w:hAnsi="Times New Roman" w:cs="Times New Roman"/>
          <w:color w:val="0D0D0D"/>
          <w:sz w:val="28"/>
          <w:szCs w:val="28"/>
        </w:rPr>
      </w:pPr>
      <w:r w:rsidRPr="005605E9">
        <w:rPr>
          <w:rFonts w:ascii="Times New Roman" w:eastAsia="Calibri" w:hAnsi="Times New Roman" w:cs="Times New Roman"/>
          <w:color w:val="000000"/>
          <w:sz w:val="28"/>
          <w:szCs w:val="28"/>
        </w:rPr>
        <w:t xml:space="preserve">Лабораторією корпоративного права імені академіка Володимира </w:t>
      </w:r>
      <w:proofErr w:type="spellStart"/>
      <w:r w:rsidRPr="005605E9">
        <w:rPr>
          <w:rFonts w:ascii="Times New Roman" w:eastAsia="Calibri" w:hAnsi="Times New Roman" w:cs="Times New Roman"/>
          <w:color w:val="000000"/>
          <w:sz w:val="28"/>
          <w:szCs w:val="28"/>
        </w:rPr>
        <w:t>Луця</w:t>
      </w:r>
      <w:proofErr w:type="spellEnd"/>
      <w:r w:rsidRPr="005605E9">
        <w:rPr>
          <w:rFonts w:ascii="Times New Roman" w:eastAsia="Calibri" w:hAnsi="Times New Roman" w:cs="Times New Roman"/>
          <w:color w:val="000000"/>
          <w:sz w:val="28"/>
          <w:szCs w:val="28"/>
        </w:rPr>
        <w:t xml:space="preserve"> (надалі – Лабораторія) Науково-дослідного інституту приватного права і підприємництва імені академіка Ф. Г. Бурчака Національної академії правових наук України (надалі – НДІ ППП імені академіка Ф. Г. Бурчака </w:t>
      </w:r>
      <w:proofErr w:type="spellStart"/>
      <w:r w:rsidRPr="005605E9">
        <w:rPr>
          <w:rFonts w:ascii="Times New Roman" w:eastAsia="Calibri" w:hAnsi="Times New Roman" w:cs="Times New Roman"/>
          <w:color w:val="000000"/>
          <w:sz w:val="28"/>
          <w:szCs w:val="28"/>
        </w:rPr>
        <w:t>НАПрН</w:t>
      </w:r>
      <w:proofErr w:type="spellEnd"/>
      <w:r w:rsidRPr="005605E9">
        <w:rPr>
          <w:rFonts w:ascii="Times New Roman" w:eastAsia="Calibri" w:hAnsi="Times New Roman" w:cs="Times New Roman"/>
          <w:color w:val="000000"/>
          <w:sz w:val="28"/>
          <w:szCs w:val="28"/>
        </w:rPr>
        <w:t xml:space="preserve"> України) підготовлено </w:t>
      </w:r>
      <w:r w:rsidRPr="005605E9">
        <w:rPr>
          <w:rFonts w:ascii="Times New Roman" w:eastAsia="Calibri" w:hAnsi="Times New Roman" w:cs="Times New Roman"/>
          <w:color w:val="0D0D0D"/>
          <w:sz w:val="28"/>
          <w:szCs w:val="28"/>
        </w:rPr>
        <w:t>науковий висновок на підставі частини сьомої статті</w:t>
      </w:r>
      <w:r w:rsidRPr="005605E9">
        <w:rPr>
          <w:rFonts w:ascii="Times New Roman" w:eastAsia="Calibri" w:hAnsi="Times New Roman" w:cs="Times New Roman"/>
          <w:color w:val="0D0D0D"/>
          <w:sz w:val="28"/>
          <w:szCs w:val="28"/>
          <w:lang w:val="ru-RU"/>
        </w:rPr>
        <w:t> </w:t>
      </w:r>
      <w:r w:rsidRPr="005605E9">
        <w:rPr>
          <w:rFonts w:ascii="Times New Roman" w:eastAsia="Calibri" w:hAnsi="Times New Roman" w:cs="Times New Roman"/>
          <w:color w:val="0D0D0D"/>
          <w:sz w:val="28"/>
          <w:szCs w:val="28"/>
        </w:rPr>
        <w:t xml:space="preserve">303 Господарського процесуального кодексу України, статті 47 Закону </w:t>
      </w:r>
      <w:r w:rsidRPr="005605E9">
        <w:rPr>
          <w:rFonts w:ascii="Times New Roman" w:eastAsia="Calibri" w:hAnsi="Times New Roman" w:cs="Times New Roman"/>
          <w:color w:val="0D0D0D"/>
          <w:sz w:val="28"/>
          <w:szCs w:val="28"/>
        </w:rPr>
        <w:lastRenderedPageBreak/>
        <w:t>України «Про судоустрій та статус суддів», пунктів 1.2, 2.8, 3.2, 3.3 Положення про Науково-консультативну раду при Верховному Суді, за зверненням судді Верховного Суду у складі Великої Палати І. В. Ткача, судді-доповідача у справі № 924/971/23 (провадження № 12-25гс24) від 10 грудня 2024 року, щодо викладених у зверненні питань</w:t>
      </w:r>
      <w:r w:rsidRPr="005605E9">
        <w:rPr>
          <w:rFonts w:ascii="Times New Roman" w:eastAsia="Calibri" w:hAnsi="Times New Roman" w:cs="Times New Roman"/>
          <w:color w:val="0D0D0D"/>
          <w:sz w:val="28"/>
          <w:szCs w:val="28"/>
          <w:vertAlign w:val="superscript"/>
        </w:rPr>
        <w:footnoteReference w:id="1"/>
      </w:r>
      <w:r w:rsidRPr="005605E9">
        <w:rPr>
          <w:rFonts w:ascii="Times New Roman" w:eastAsia="Calibri" w:hAnsi="Times New Roman" w:cs="Times New Roman"/>
          <w:color w:val="0D0D0D"/>
          <w:sz w:val="28"/>
          <w:szCs w:val="28"/>
        </w:rPr>
        <w:t xml:space="preserve">: </w:t>
      </w:r>
    </w:p>
    <w:p w14:paraId="70306917" w14:textId="77777777" w:rsidR="005605E9" w:rsidRPr="005605E9" w:rsidRDefault="005605E9" w:rsidP="005605E9">
      <w:pPr>
        <w:numPr>
          <w:ilvl w:val="0"/>
          <w:numId w:val="6"/>
        </w:numPr>
        <w:tabs>
          <w:tab w:val="left" w:pos="993"/>
        </w:tabs>
        <w:spacing w:after="0" w:line="360" w:lineRule="auto"/>
        <w:ind w:left="0" w:firstLine="709"/>
        <w:contextualSpacing/>
        <w:jc w:val="both"/>
        <w:rPr>
          <w:rFonts w:ascii="Times New Roman" w:eastAsia="Calibri" w:hAnsi="Times New Roman" w:cs="Times New Roman"/>
          <w:i/>
          <w:color w:val="0D0D0D"/>
          <w:sz w:val="28"/>
          <w:szCs w:val="28"/>
        </w:rPr>
      </w:pPr>
      <w:r w:rsidRPr="005605E9">
        <w:rPr>
          <w:rFonts w:ascii="Times New Roman" w:eastAsia="Calibri" w:hAnsi="Times New Roman" w:cs="Times New Roman"/>
          <w:i/>
          <w:color w:val="0D0D0D"/>
          <w:sz w:val="28"/>
          <w:szCs w:val="28"/>
        </w:rPr>
        <w:t>Чи порушуються у спірних відносинах права та інтереси держави і чи є Мін’юст органом, уповноваженим на звернення до суду?</w:t>
      </w:r>
    </w:p>
    <w:p w14:paraId="0C3C844E" w14:textId="77777777" w:rsidR="005605E9" w:rsidRPr="005605E9" w:rsidRDefault="005605E9" w:rsidP="005605E9">
      <w:pPr>
        <w:numPr>
          <w:ilvl w:val="0"/>
          <w:numId w:val="6"/>
        </w:numPr>
        <w:tabs>
          <w:tab w:val="left" w:pos="993"/>
        </w:tabs>
        <w:spacing w:after="0" w:line="360" w:lineRule="auto"/>
        <w:ind w:left="0" w:firstLine="709"/>
        <w:contextualSpacing/>
        <w:jc w:val="both"/>
        <w:rPr>
          <w:rFonts w:ascii="Times New Roman" w:eastAsia="Calibri" w:hAnsi="Times New Roman" w:cs="Times New Roman"/>
          <w:i/>
          <w:color w:val="0D0D0D"/>
          <w:sz w:val="28"/>
          <w:szCs w:val="28"/>
        </w:rPr>
      </w:pPr>
      <w:r w:rsidRPr="005605E9">
        <w:rPr>
          <w:rFonts w:ascii="Times New Roman" w:eastAsia="Calibri" w:hAnsi="Times New Roman" w:cs="Times New Roman"/>
          <w:i/>
          <w:color w:val="0D0D0D"/>
          <w:sz w:val="28"/>
          <w:szCs w:val="28"/>
        </w:rPr>
        <w:t xml:space="preserve">Чи може конструкція </w:t>
      </w:r>
      <w:proofErr w:type="spellStart"/>
      <w:r w:rsidRPr="005605E9">
        <w:rPr>
          <w:rFonts w:ascii="Times New Roman" w:eastAsia="Calibri" w:hAnsi="Times New Roman" w:cs="Times New Roman"/>
          <w:i/>
          <w:color w:val="0D0D0D"/>
          <w:sz w:val="28"/>
          <w:szCs w:val="28"/>
        </w:rPr>
        <w:t>фраудаторного</w:t>
      </w:r>
      <w:proofErr w:type="spellEnd"/>
      <w:r w:rsidRPr="005605E9">
        <w:rPr>
          <w:rFonts w:ascii="Times New Roman" w:eastAsia="Calibri" w:hAnsi="Times New Roman" w:cs="Times New Roman"/>
          <w:i/>
          <w:color w:val="0D0D0D"/>
          <w:sz w:val="28"/>
          <w:szCs w:val="28"/>
        </w:rPr>
        <w:t xml:space="preserve"> правочину застосовуватися у правовідносинах, пов’язаних з майновими наслідками заборони діяльності політичної партії (переходом майна забороненої партії у власність держави)?</w:t>
      </w:r>
    </w:p>
    <w:p w14:paraId="08AC5C03" w14:textId="77777777" w:rsidR="005605E9" w:rsidRPr="005605E9" w:rsidRDefault="005605E9" w:rsidP="005605E9">
      <w:pPr>
        <w:numPr>
          <w:ilvl w:val="0"/>
          <w:numId w:val="6"/>
        </w:numPr>
        <w:tabs>
          <w:tab w:val="left" w:pos="993"/>
        </w:tabs>
        <w:spacing w:after="0" w:line="360" w:lineRule="auto"/>
        <w:ind w:left="0" w:firstLine="709"/>
        <w:contextualSpacing/>
        <w:jc w:val="both"/>
        <w:rPr>
          <w:rFonts w:ascii="Times New Roman" w:eastAsia="Calibri" w:hAnsi="Times New Roman" w:cs="Times New Roman"/>
          <w:i/>
          <w:color w:val="0D0D0D"/>
          <w:sz w:val="28"/>
          <w:szCs w:val="28"/>
        </w:rPr>
      </w:pPr>
      <w:r w:rsidRPr="005605E9">
        <w:rPr>
          <w:rFonts w:ascii="Times New Roman" w:eastAsia="Calibri" w:hAnsi="Times New Roman" w:cs="Times New Roman"/>
          <w:i/>
          <w:color w:val="0D0D0D"/>
          <w:sz w:val="28"/>
          <w:szCs w:val="28"/>
        </w:rPr>
        <w:t>Чи може бути правочин кваліфікований як фіктивний у разі, якщо на виконання правочину було передано майно?</w:t>
      </w:r>
    </w:p>
    <w:p w14:paraId="575290FE" w14:textId="77777777" w:rsidR="005605E9" w:rsidRPr="005605E9" w:rsidRDefault="005605E9" w:rsidP="005605E9">
      <w:pPr>
        <w:numPr>
          <w:ilvl w:val="0"/>
          <w:numId w:val="6"/>
        </w:numPr>
        <w:tabs>
          <w:tab w:val="left" w:pos="993"/>
        </w:tabs>
        <w:spacing w:after="0" w:line="360" w:lineRule="auto"/>
        <w:ind w:left="0" w:firstLine="709"/>
        <w:contextualSpacing/>
        <w:jc w:val="both"/>
        <w:rPr>
          <w:rFonts w:ascii="Times New Roman" w:eastAsia="Calibri" w:hAnsi="Times New Roman" w:cs="Times New Roman"/>
          <w:i/>
          <w:color w:val="0D0D0D"/>
          <w:sz w:val="28"/>
          <w:szCs w:val="28"/>
        </w:rPr>
      </w:pPr>
      <w:r w:rsidRPr="005605E9">
        <w:rPr>
          <w:rFonts w:ascii="Times New Roman" w:eastAsia="Calibri" w:hAnsi="Times New Roman" w:cs="Times New Roman"/>
          <w:i/>
          <w:color w:val="0D0D0D"/>
          <w:sz w:val="28"/>
          <w:szCs w:val="28"/>
        </w:rPr>
        <w:t xml:space="preserve">Чи є належним та ефективним способом захисту звернення з позовом про визнання недійсним договору дарування? Чи способом захисту має бути </w:t>
      </w:r>
      <w:proofErr w:type="spellStart"/>
      <w:r w:rsidRPr="005605E9">
        <w:rPr>
          <w:rFonts w:ascii="Times New Roman" w:eastAsia="Calibri" w:hAnsi="Times New Roman" w:cs="Times New Roman"/>
          <w:i/>
          <w:color w:val="0D0D0D"/>
          <w:sz w:val="28"/>
          <w:szCs w:val="28"/>
        </w:rPr>
        <w:t>віндикаційний</w:t>
      </w:r>
      <w:proofErr w:type="spellEnd"/>
      <w:r w:rsidRPr="005605E9">
        <w:rPr>
          <w:rFonts w:ascii="Times New Roman" w:eastAsia="Calibri" w:hAnsi="Times New Roman" w:cs="Times New Roman"/>
          <w:i/>
          <w:color w:val="0D0D0D"/>
          <w:sz w:val="28"/>
          <w:szCs w:val="28"/>
        </w:rPr>
        <w:t xml:space="preserve"> позов?</w:t>
      </w:r>
    </w:p>
    <w:p w14:paraId="15913911" w14:textId="77777777" w:rsidR="005605E9" w:rsidRPr="005605E9" w:rsidRDefault="005605E9" w:rsidP="005605E9">
      <w:pPr>
        <w:numPr>
          <w:ilvl w:val="0"/>
          <w:numId w:val="6"/>
        </w:numPr>
        <w:tabs>
          <w:tab w:val="left" w:pos="993"/>
        </w:tabs>
        <w:spacing w:after="0" w:line="360" w:lineRule="auto"/>
        <w:ind w:left="0" w:firstLine="709"/>
        <w:contextualSpacing/>
        <w:jc w:val="both"/>
        <w:rPr>
          <w:rFonts w:ascii="Times New Roman" w:eastAsia="Calibri" w:hAnsi="Times New Roman" w:cs="Times New Roman"/>
          <w:i/>
          <w:color w:val="0D0D0D"/>
          <w:sz w:val="28"/>
          <w:szCs w:val="28"/>
        </w:rPr>
      </w:pPr>
      <w:r w:rsidRPr="005605E9">
        <w:rPr>
          <w:rFonts w:ascii="Times New Roman" w:eastAsia="Calibri" w:hAnsi="Times New Roman" w:cs="Times New Roman"/>
          <w:i/>
          <w:color w:val="0D0D0D"/>
          <w:sz w:val="28"/>
          <w:szCs w:val="28"/>
        </w:rPr>
        <w:t>Чи можна розцінювати вимогу про скасування державної  реєстрації прав на спірне нерухоме майно, заявлену разом з вимогою про визнання договору недійсним, як вимогу про застосування реституції?</w:t>
      </w:r>
    </w:p>
    <w:p w14:paraId="7F46FE04" w14:textId="77777777" w:rsidR="005605E9" w:rsidRPr="005605E9" w:rsidRDefault="005605E9" w:rsidP="005605E9">
      <w:pPr>
        <w:spacing w:after="0" w:line="360" w:lineRule="auto"/>
        <w:jc w:val="both"/>
        <w:rPr>
          <w:rFonts w:ascii="Times New Roman" w:eastAsia="Calibri" w:hAnsi="Times New Roman" w:cs="Times New Roman"/>
          <w:color w:val="0D0D0D"/>
          <w:sz w:val="28"/>
          <w:szCs w:val="28"/>
        </w:rPr>
      </w:pPr>
    </w:p>
    <w:p w14:paraId="618BCC2C" w14:textId="77777777" w:rsidR="005605E9" w:rsidRPr="005605E9" w:rsidRDefault="005605E9" w:rsidP="005605E9">
      <w:pPr>
        <w:spacing w:after="0" w:line="360" w:lineRule="auto"/>
        <w:jc w:val="center"/>
        <w:rPr>
          <w:rFonts w:ascii="Times New Roman" w:eastAsia="Calibri" w:hAnsi="Times New Roman" w:cs="Times New Roman"/>
          <w:b/>
          <w:color w:val="0D0D0D"/>
          <w:sz w:val="28"/>
          <w:szCs w:val="28"/>
        </w:rPr>
      </w:pPr>
      <w:r w:rsidRPr="005605E9">
        <w:rPr>
          <w:rFonts w:ascii="Times New Roman" w:eastAsia="Calibri" w:hAnsi="Times New Roman" w:cs="Times New Roman"/>
          <w:b/>
          <w:color w:val="0D0D0D"/>
          <w:sz w:val="28"/>
          <w:szCs w:val="28"/>
        </w:rPr>
        <w:t>ІІ.</w:t>
      </w:r>
    </w:p>
    <w:p w14:paraId="4B24A367" w14:textId="77777777" w:rsidR="005605E9" w:rsidRPr="005605E9" w:rsidRDefault="005605E9" w:rsidP="005605E9">
      <w:pPr>
        <w:spacing w:after="0" w:line="360" w:lineRule="auto"/>
        <w:jc w:val="center"/>
        <w:rPr>
          <w:rFonts w:ascii="Times New Roman" w:eastAsia="Calibri" w:hAnsi="Times New Roman" w:cs="Times New Roman"/>
          <w:b/>
          <w:color w:val="0D0D0D"/>
          <w:sz w:val="28"/>
          <w:szCs w:val="28"/>
        </w:rPr>
      </w:pPr>
    </w:p>
    <w:p w14:paraId="579D8414" w14:textId="77777777" w:rsidR="005605E9" w:rsidRPr="005605E9" w:rsidRDefault="005605E9" w:rsidP="005605E9">
      <w:pPr>
        <w:tabs>
          <w:tab w:val="left" w:pos="993"/>
        </w:tabs>
        <w:spacing w:after="0" w:line="360" w:lineRule="auto"/>
        <w:ind w:firstLine="709"/>
        <w:jc w:val="both"/>
        <w:rPr>
          <w:rFonts w:ascii="Times New Roman" w:eastAsia="Calibri" w:hAnsi="Times New Roman" w:cs="Times New Roman"/>
          <w:i/>
          <w:color w:val="0D0D0D"/>
          <w:sz w:val="28"/>
          <w:szCs w:val="28"/>
        </w:rPr>
      </w:pPr>
      <w:r w:rsidRPr="005605E9">
        <w:rPr>
          <w:rFonts w:ascii="Times New Roman" w:eastAsia="Calibri" w:hAnsi="Times New Roman" w:cs="Times New Roman"/>
          <w:i/>
          <w:color w:val="0D0D0D"/>
          <w:sz w:val="28"/>
          <w:szCs w:val="28"/>
        </w:rPr>
        <w:t>1. Чи порушуються у спірних відносинах права та інтереси держави і чи є Мін’юст органом, уповноваженим на звернення до суду?</w:t>
      </w:r>
    </w:p>
    <w:p w14:paraId="50E0CF0D" w14:textId="77777777" w:rsidR="005605E9" w:rsidRPr="005605E9" w:rsidRDefault="005605E9" w:rsidP="005605E9">
      <w:pPr>
        <w:widowControl w:val="0"/>
        <w:spacing w:after="0" w:line="360" w:lineRule="auto"/>
        <w:ind w:firstLine="709"/>
        <w:jc w:val="both"/>
        <w:rPr>
          <w:rFonts w:ascii="Times New Roman" w:eastAsia="Arial" w:hAnsi="Times New Roman" w:cs="Times New Roman"/>
          <w:color w:val="0D0D0D"/>
          <w:sz w:val="28"/>
          <w:szCs w:val="28"/>
          <w:lang w:eastAsia="uk-UA" w:bidi="uk-UA"/>
        </w:rPr>
      </w:pPr>
    </w:p>
    <w:p w14:paraId="5B74131E" w14:textId="77777777" w:rsidR="005605E9" w:rsidRPr="005605E9" w:rsidRDefault="005605E9" w:rsidP="005605E9">
      <w:pPr>
        <w:widowControl w:val="0"/>
        <w:spacing w:after="0" w:line="360" w:lineRule="auto"/>
        <w:ind w:firstLine="709"/>
        <w:jc w:val="both"/>
        <w:rPr>
          <w:rFonts w:ascii="Times New Roman" w:eastAsia="Arial" w:hAnsi="Times New Roman" w:cs="Times New Roman"/>
          <w:color w:val="0D0D0D"/>
          <w:sz w:val="28"/>
          <w:szCs w:val="28"/>
          <w:lang w:eastAsia="uk-UA" w:bidi="uk-UA"/>
        </w:rPr>
      </w:pPr>
      <w:r w:rsidRPr="005605E9">
        <w:rPr>
          <w:rFonts w:ascii="Times New Roman" w:eastAsia="Arial" w:hAnsi="Times New Roman" w:cs="Times New Roman"/>
          <w:color w:val="0D0D0D"/>
          <w:sz w:val="28"/>
          <w:szCs w:val="28"/>
          <w:lang w:eastAsia="uk-UA" w:bidi="uk-UA"/>
        </w:rPr>
        <w:t xml:space="preserve">Вироблення і застосування підходів до розуміння сутнісного змісту і меж правомірної діяльності політичних партій в умовах українських реалій останніх років свідчить про практичне впровадження в Україні концепції </w:t>
      </w:r>
      <w:r w:rsidRPr="005605E9">
        <w:rPr>
          <w:rFonts w:ascii="Times New Roman" w:eastAsia="Arial" w:hAnsi="Times New Roman" w:cs="Times New Roman"/>
          <w:color w:val="0D0D0D"/>
          <w:sz w:val="28"/>
          <w:szCs w:val="28"/>
          <w:lang w:eastAsia="uk-UA" w:bidi="uk-UA"/>
        </w:rPr>
        <w:lastRenderedPageBreak/>
        <w:t>войовничої демократії, або як її ще називають, «демократія, здатна захистити себе», що активно зародилася у світі ще після Першої світової війни</w:t>
      </w:r>
      <w:r w:rsidRPr="005605E9">
        <w:rPr>
          <w:rFonts w:ascii="Times New Roman" w:eastAsia="Arial" w:hAnsi="Times New Roman" w:cs="Times New Roman"/>
          <w:color w:val="0D0D0D"/>
          <w:sz w:val="28"/>
          <w:szCs w:val="28"/>
          <w:vertAlign w:val="superscript"/>
          <w:lang w:eastAsia="uk-UA" w:bidi="uk-UA"/>
        </w:rPr>
        <w:footnoteReference w:id="2"/>
      </w:r>
      <w:r w:rsidRPr="005605E9">
        <w:rPr>
          <w:rFonts w:ascii="Times New Roman" w:eastAsia="Arial" w:hAnsi="Times New Roman" w:cs="Times New Roman"/>
          <w:color w:val="0D0D0D"/>
          <w:sz w:val="28"/>
          <w:szCs w:val="28"/>
          <w:lang w:eastAsia="uk-UA" w:bidi="uk-UA"/>
        </w:rPr>
        <w:t xml:space="preserve">. </w:t>
      </w:r>
    </w:p>
    <w:p w14:paraId="0F0E473C" w14:textId="77777777" w:rsidR="005605E9" w:rsidRPr="005605E9" w:rsidRDefault="005605E9" w:rsidP="005605E9">
      <w:pPr>
        <w:widowControl w:val="0"/>
        <w:spacing w:after="0" w:line="360" w:lineRule="auto"/>
        <w:ind w:firstLine="709"/>
        <w:jc w:val="both"/>
        <w:rPr>
          <w:rFonts w:ascii="Times New Roman" w:eastAsia="Arial" w:hAnsi="Times New Roman" w:cs="Times New Roman"/>
          <w:color w:val="0D0D0D"/>
          <w:sz w:val="28"/>
          <w:szCs w:val="28"/>
        </w:rPr>
      </w:pPr>
      <w:r w:rsidRPr="005605E9">
        <w:rPr>
          <w:rFonts w:ascii="Times New Roman" w:eastAsia="Arial" w:hAnsi="Times New Roman" w:cs="Times New Roman"/>
          <w:color w:val="0D0D0D"/>
          <w:sz w:val="28"/>
          <w:szCs w:val="28"/>
          <w:lang w:eastAsia="uk-UA" w:bidi="uk-UA"/>
        </w:rPr>
        <w:t>До складових «войовничої демократії» можна віднести: розпуск політичних партій у судовому порядку; конституційні засоби обмеження зловживання демократією, насамперед належна правова процедура; конституційні обмеження окремих політичних прав – свободи асоціацій, зібрань, вираження поглядів; лояльність державних службовців; люстрація щодо державних і політичних діячів, щодо колишніх представників тоталітарних і авторитарних режимів у молодих конституційних демократіях</w:t>
      </w:r>
      <w:r w:rsidRPr="005605E9">
        <w:rPr>
          <w:rFonts w:ascii="Times New Roman" w:eastAsia="Arial" w:hAnsi="Times New Roman" w:cs="Times New Roman"/>
          <w:color w:val="0D0D0D"/>
          <w:sz w:val="28"/>
          <w:szCs w:val="28"/>
          <w:vertAlign w:val="superscript"/>
          <w:lang w:eastAsia="uk-UA" w:bidi="uk-UA"/>
        </w:rPr>
        <w:footnoteReference w:id="3"/>
      </w:r>
      <w:r w:rsidRPr="005605E9">
        <w:rPr>
          <w:rFonts w:ascii="Times New Roman" w:eastAsia="Arial" w:hAnsi="Times New Roman" w:cs="Times New Roman"/>
          <w:color w:val="0D0D0D"/>
          <w:sz w:val="28"/>
          <w:szCs w:val="28"/>
          <w:lang w:eastAsia="uk-UA" w:bidi="uk-UA"/>
        </w:rPr>
        <w:t>, у силу своєї політико-правової значущості сприймаються і втілюються у сфері відповідних суспільних відносин</w:t>
      </w:r>
      <w:r w:rsidRPr="005605E9">
        <w:rPr>
          <w:rFonts w:ascii="Times New Roman" w:eastAsia="Arial" w:hAnsi="Times New Roman" w:cs="Times New Roman"/>
          <w:color w:val="0D0D0D"/>
          <w:sz w:val="28"/>
          <w:szCs w:val="28"/>
          <w:vertAlign w:val="superscript"/>
          <w:lang w:eastAsia="uk-UA" w:bidi="uk-UA"/>
        </w:rPr>
        <w:footnoteReference w:id="4"/>
      </w:r>
      <w:r w:rsidRPr="005605E9">
        <w:rPr>
          <w:rFonts w:ascii="Times New Roman" w:eastAsia="Arial" w:hAnsi="Times New Roman" w:cs="Times New Roman"/>
          <w:color w:val="0D0D0D"/>
          <w:sz w:val="28"/>
          <w:szCs w:val="28"/>
          <w:lang w:eastAsia="uk-UA" w:bidi="uk-UA"/>
        </w:rPr>
        <w:t>.</w:t>
      </w:r>
    </w:p>
    <w:p w14:paraId="31CF7A67" w14:textId="77777777" w:rsidR="005605E9" w:rsidRPr="005605E9" w:rsidRDefault="005605E9" w:rsidP="005605E9">
      <w:pPr>
        <w:widowControl w:val="0"/>
        <w:spacing w:after="0" w:line="360" w:lineRule="auto"/>
        <w:ind w:firstLine="709"/>
        <w:jc w:val="both"/>
        <w:rPr>
          <w:rFonts w:ascii="Times New Roman" w:eastAsia="Arial" w:hAnsi="Times New Roman" w:cs="Times New Roman"/>
          <w:color w:val="0D0D0D"/>
          <w:sz w:val="28"/>
          <w:szCs w:val="28"/>
          <w:lang w:eastAsia="uk-UA" w:bidi="uk-UA"/>
        </w:rPr>
      </w:pPr>
      <w:r w:rsidRPr="005605E9">
        <w:rPr>
          <w:rFonts w:ascii="Times New Roman" w:eastAsia="Arial" w:hAnsi="Times New Roman" w:cs="Times New Roman"/>
          <w:color w:val="0D0D0D"/>
          <w:sz w:val="28"/>
          <w:szCs w:val="28"/>
          <w:lang w:eastAsia="uk-UA" w:bidi="uk-UA"/>
        </w:rPr>
        <w:t>Наведені складові можна побачити на національному конституційному рівні, де регулювання діяльності політичних партій закріплено у двох аспектах:</w:t>
      </w:r>
    </w:p>
    <w:p w14:paraId="7F977E55" w14:textId="77777777" w:rsidR="005605E9" w:rsidRPr="005605E9" w:rsidRDefault="005605E9" w:rsidP="005605E9">
      <w:pPr>
        <w:widowControl w:val="0"/>
        <w:spacing w:after="0" w:line="360" w:lineRule="auto"/>
        <w:ind w:firstLine="709"/>
        <w:jc w:val="both"/>
        <w:rPr>
          <w:rFonts w:ascii="Times New Roman" w:eastAsia="Arial" w:hAnsi="Times New Roman" w:cs="Times New Roman"/>
          <w:color w:val="0D0D0D"/>
          <w:sz w:val="28"/>
          <w:szCs w:val="28"/>
          <w:lang w:eastAsia="uk-UA" w:bidi="uk-UA"/>
        </w:rPr>
      </w:pPr>
      <w:r w:rsidRPr="005605E9">
        <w:rPr>
          <w:rFonts w:ascii="Times New Roman" w:eastAsia="Arial" w:hAnsi="Times New Roman" w:cs="Times New Roman"/>
          <w:color w:val="0D0D0D"/>
          <w:sz w:val="28"/>
          <w:szCs w:val="28"/>
          <w:lang w:eastAsia="uk-UA" w:bidi="uk-UA"/>
        </w:rPr>
        <w:t xml:space="preserve">1) як свобода і право громадян на об’єднання у політичні партії для </w:t>
      </w:r>
      <w:r w:rsidRPr="005605E9">
        <w:rPr>
          <w:rFonts w:ascii="Times New Roman" w:eastAsia="Arial" w:hAnsi="Times New Roman" w:cs="Times New Roman"/>
          <w:color w:val="0D0D0D"/>
          <w:sz w:val="28"/>
          <w:szCs w:val="28"/>
        </w:rPr>
        <w:t xml:space="preserve">здійснення і захисту своїх прав і свобод та задоволення політичних, економічних, соціальних, культурних та інших інтересів, за винятком обмежень, встановлених законом в інтересах національної безпеки та громадського порядку, охорони здоров’я населення або захисту прав і свобод інших людей (частина перша статті 36 Конституції України). У цьому проявляються </w:t>
      </w:r>
      <w:r w:rsidRPr="005605E9">
        <w:rPr>
          <w:rFonts w:ascii="Times New Roman" w:eastAsia="Arial" w:hAnsi="Times New Roman" w:cs="Times New Roman"/>
          <w:color w:val="0D0D0D"/>
          <w:sz w:val="28"/>
          <w:szCs w:val="28"/>
          <w:lang w:eastAsia="uk-UA" w:bidi="uk-UA"/>
        </w:rPr>
        <w:t>базові політичні свободи людини, так зване перше покоління прав людини;</w:t>
      </w:r>
    </w:p>
    <w:p w14:paraId="71D67691" w14:textId="77777777" w:rsidR="005605E9" w:rsidRPr="005605E9" w:rsidRDefault="005605E9" w:rsidP="005605E9">
      <w:pPr>
        <w:widowControl w:val="0"/>
        <w:spacing w:after="0" w:line="360" w:lineRule="auto"/>
        <w:ind w:firstLine="709"/>
        <w:jc w:val="both"/>
        <w:rPr>
          <w:rFonts w:ascii="Times New Roman" w:eastAsia="Arial" w:hAnsi="Times New Roman" w:cs="Times New Roman"/>
          <w:color w:val="0D0D0D"/>
          <w:sz w:val="28"/>
          <w:szCs w:val="28"/>
        </w:rPr>
      </w:pPr>
      <w:r w:rsidRPr="005605E9">
        <w:rPr>
          <w:rFonts w:ascii="Times New Roman" w:eastAsia="Arial" w:hAnsi="Times New Roman" w:cs="Times New Roman"/>
          <w:color w:val="0D0D0D"/>
          <w:sz w:val="28"/>
          <w:szCs w:val="28"/>
          <w:lang w:eastAsia="uk-UA" w:bidi="uk-UA"/>
        </w:rPr>
        <w:t>2) як регулювання недопущення безмежності діяльності політичних партій через закріплення їх призначення, порядку діяльності та, безпосередньо в Основному Законі України – норм заборон щодо політичних партій:</w:t>
      </w:r>
    </w:p>
    <w:p w14:paraId="4B8F83E6" w14:textId="77777777" w:rsidR="005605E9" w:rsidRPr="005605E9" w:rsidRDefault="005605E9" w:rsidP="005605E9">
      <w:pPr>
        <w:shd w:val="clear" w:color="auto" w:fill="FFFFFF"/>
        <w:spacing w:after="0" w:line="360" w:lineRule="auto"/>
        <w:ind w:firstLine="709"/>
        <w:jc w:val="both"/>
        <w:rPr>
          <w:rFonts w:ascii="Times New Roman" w:eastAsia="Times New Roman" w:hAnsi="Times New Roman" w:cs="Times New Roman"/>
          <w:color w:val="0D0D0D"/>
          <w:sz w:val="28"/>
          <w:szCs w:val="28"/>
          <w:lang w:eastAsia="uk-UA"/>
        </w:rPr>
      </w:pPr>
      <w:bookmarkStart w:id="1" w:name="n4277"/>
      <w:bookmarkEnd w:id="1"/>
      <w:r w:rsidRPr="005605E9">
        <w:rPr>
          <w:rFonts w:ascii="Times New Roman" w:eastAsia="Times New Roman" w:hAnsi="Times New Roman" w:cs="Times New Roman"/>
          <w:color w:val="0D0D0D"/>
          <w:sz w:val="28"/>
          <w:szCs w:val="28"/>
          <w:lang w:eastAsia="uk-UA"/>
        </w:rPr>
        <w:lastRenderedPageBreak/>
        <w:t>– політичні партії в Україні сприяють формуванню і вираженню політичної волі громадян, беруть участь у виборах. Членами політичних партій можуть бути лише громадяни України. Обмеження щодо членства у політичних партіях встановлюються виключно цією Конституцією і законами України (частина друга статті 36 Конституції України);</w:t>
      </w:r>
    </w:p>
    <w:p w14:paraId="5BC3E5B2" w14:textId="77777777" w:rsidR="005605E9" w:rsidRPr="005605E9" w:rsidRDefault="005605E9" w:rsidP="005605E9">
      <w:pPr>
        <w:shd w:val="clear" w:color="auto" w:fill="FFFFFF"/>
        <w:spacing w:after="0" w:line="360" w:lineRule="auto"/>
        <w:ind w:firstLine="709"/>
        <w:jc w:val="both"/>
        <w:rPr>
          <w:rFonts w:ascii="Times New Roman" w:eastAsia="Times New Roman" w:hAnsi="Times New Roman" w:cs="Times New Roman"/>
          <w:color w:val="0D0D0D"/>
          <w:sz w:val="28"/>
          <w:szCs w:val="28"/>
          <w:lang w:eastAsia="uk-UA"/>
        </w:rPr>
      </w:pPr>
      <w:r w:rsidRPr="005605E9">
        <w:rPr>
          <w:rFonts w:ascii="Times New Roman" w:eastAsia="Times New Roman" w:hAnsi="Times New Roman" w:cs="Times New Roman"/>
          <w:color w:val="0D0D0D"/>
          <w:sz w:val="28"/>
          <w:szCs w:val="28"/>
          <w:lang w:eastAsia="uk-UA"/>
        </w:rPr>
        <w:t xml:space="preserve">– утворення і діяльність політичних партій та громадських організацій, програмні цілі або дії яких спрямовані на ліквідацію незалежності України, зміну конституційного ладу насильницьким шляхом, порушення суверенітету і територіальної цілісності держави, підрив її безпеки, незаконне захоплення державної влади, пропаганду війни, насильства, на розпалювання міжетнічної, расової, релігійної ворожнечі, посягання на права і свободи людини, здоров’я населення, забороняються. </w:t>
      </w:r>
      <w:bookmarkStart w:id="2" w:name="n4282"/>
      <w:bookmarkEnd w:id="2"/>
    </w:p>
    <w:p w14:paraId="054FC106" w14:textId="77777777" w:rsidR="005605E9" w:rsidRPr="005605E9" w:rsidRDefault="005605E9" w:rsidP="005605E9">
      <w:pPr>
        <w:shd w:val="clear" w:color="auto" w:fill="FFFFFF"/>
        <w:spacing w:after="0" w:line="360" w:lineRule="auto"/>
        <w:ind w:firstLine="709"/>
        <w:jc w:val="both"/>
        <w:rPr>
          <w:rFonts w:ascii="Times New Roman" w:eastAsia="Times New Roman" w:hAnsi="Times New Roman" w:cs="Times New Roman"/>
          <w:color w:val="0D0D0D"/>
          <w:sz w:val="28"/>
          <w:szCs w:val="28"/>
          <w:lang w:eastAsia="uk-UA"/>
        </w:rPr>
      </w:pPr>
      <w:r w:rsidRPr="005605E9">
        <w:rPr>
          <w:rFonts w:ascii="Times New Roman" w:eastAsia="Times New Roman" w:hAnsi="Times New Roman" w:cs="Times New Roman"/>
          <w:color w:val="0D0D0D"/>
          <w:sz w:val="28"/>
          <w:szCs w:val="28"/>
          <w:lang w:eastAsia="uk-UA"/>
        </w:rPr>
        <w:t xml:space="preserve">Політичні партії та громадські організації не можуть мати воєнізованих формувань. </w:t>
      </w:r>
      <w:bookmarkStart w:id="3" w:name="n4283"/>
      <w:bookmarkEnd w:id="3"/>
      <w:r w:rsidRPr="005605E9">
        <w:rPr>
          <w:rFonts w:ascii="Times New Roman" w:eastAsia="Times New Roman" w:hAnsi="Times New Roman" w:cs="Times New Roman"/>
          <w:color w:val="0D0D0D"/>
          <w:sz w:val="28"/>
          <w:szCs w:val="28"/>
          <w:lang w:eastAsia="uk-UA"/>
        </w:rPr>
        <w:t xml:space="preserve">Не допускається створення і діяльність організаційних структур політичних партій в органах виконавчої та судової влади і виконавчих органах місцевого самоврядування, військових формуваннях, а також на державних підприємствах, у навчальних закладах та інших державних установах і організаціях. </w:t>
      </w:r>
      <w:bookmarkStart w:id="4" w:name="n4284"/>
      <w:bookmarkEnd w:id="4"/>
      <w:r w:rsidRPr="005605E9">
        <w:rPr>
          <w:rFonts w:ascii="Times New Roman" w:eastAsia="Times New Roman" w:hAnsi="Times New Roman" w:cs="Times New Roman"/>
          <w:color w:val="0D0D0D"/>
          <w:sz w:val="28"/>
          <w:szCs w:val="28"/>
          <w:lang w:eastAsia="uk-UA"/>
        </w:rPr>
        <w:t>Заборона діяльності об’єднань громадян здійснюється лише в судовому порядку (статті 37, 36 Конституції України). На законодавчому рівні конкретизуються в тому числі, й інші заборони щодо діяльності політичних партій (статті 5, 19, 21 тощо Закону України «Про політичні партії».</w:t>
      </w:r>
    </w:p>
    <w:p w14:paraId="5FACB11C" w14:textId="77777777" w:rsidR="005605E9" w:rsidRPr="005605E9" w:rsidRDefault="005605E9" w:rsidP="005605E9">
      <w:pPr>
        <w:spacing w:after="0" w:line="360" w:lineRule="auto"/>
        <w:ind w:firstLine="709"/>
        <w:jc w:val="both"/>
        <w:rPr>
          <w:rFonts w:ascii="Times New Roman" w:eastAsia="Calibri" w:hAnsi="Times New Roman" w:cs="Times New Roman"/>
          <w:color w:val="0D0D0D"/>
          <w:sz w:val="28"/>
          <w:szCs w:val="28"/>
        </w:rPr>
      </w:pPr>
      <w:r w:rsidRPr="005605E9">
        <w:rPr>
          <w:rFonts w:ascii="Times New Roman" w:eastAsia="Calibri" w:hAnsi="Times New Roman" w:cs="Times New Roman"/>
          <w:color w:val="0D0D0D"/>
          <w:sz w:val="28"/>
          <w:szCs w:val="28"/>
        </w:rPr>
        <w:t xml:space="preserve">Викладене є підставою для висновку, що </w:t>
      </w:r>
      <w:bookmarkStart w:id="5" w:name="_Hlk188820609"/>
      <w:r w:rsidRPr="005605E9">
        <w:rPr>
          <w:rFonts w:ascii="Times New Roman" w:eastAsia="Calibri" w:hAnsi="Times New Roman" w:cs="Times New Roman"/>
          <w:color w:val="0D0D0D"/>
          <w:sz w:val="28"/>
          <w:szCs w:val="28"/>
        </w:rPr>
        <w:t>у питаннях діяльності політичних партій участь держави зводиться до двох напрямів: як прояв державно-правового примусу уповноваженими органами держави та як рівний суб’єкт правовідносин, що має свої інтереси.</w:t>
      </w:r>
    </w:p>
    <w:bookmarkEnd w:id="5"/>
    <w:p w14:paraId="7F136645" w14:textId="477950AB" w:rsidR="005605E9" w:rsidRPr="005605E9" w:rsidRDefault="005605E9" w:rsidP="005605E9">
      <w:pPr>
        <w:widowControl w:val="0"/>
        <w:spacing w:after="0" w:line="360" w:lineRule="auto"/>
        <w:ind w:firstLine="709"/>
        <w:jc w:val="both"/>
        <w:rPr>
          <w:rFonts w:ascii="Times New Roman" w:eastAsia="Arial" w:hAnsi="Times New Roman" w:cs="Times New Roman"/>
          <w:color w:val="0D0D0D"/>
          <w:sz w:val="28"/>
          <w:szCs w:val="28"/>
          <w:lang w:eastAsia="uk-UA" w:bidi="uk-UA"/>
        </w:rPr>
      </w:pPr>
      <w:r w:rsidRPr="005605E9">
        <w:rPr>
          <w:rFonts w:ascii="Times New Roman" w:eastAsia="Arial" w:hAnsi="Times New Roman" w:cs="Times New Roman"/>
          <w:color w:val="0D0D0D"/>
          <w:sz w:val="28"/>
          <w:szCs w:val="28"/>
          <w:lang w:eastAsia="uk-UA" w:bidi="uk-UA"/>
        </w:rPr>
        <w:t xml:space="preserve">Оскільки заборона політичної партії у демократичному суспільстві є винятковим заходом, такий процес заборони має бути пов’язаний з балансуванням між захистом демократії та збереженням свободи вираження </w:t>
      </w:r>
      <w:r w:rsidRPr="005605E9">
        <w:rPr>
          <w:rFonts w:ascii="Times New Roman" w:eastAsia="Arial" w:hAnsi="Times New Roman" w:cs="Times New Roman"/>
          <w:color w:val="0D0D0D"/>
          <w:sz w:val="28"/>
          <w:szCs w:val="28"/>
          <w:lang w:eastAsia="uk-UA" w:bidi="uk-UA"/>
        </w:rPr>
        <w:lastRenderedPageBreak/>
        <w:t>поглядів</w:t>
      </w:r>
      <w:r w:rsidRPr="005605E9">
        <w:rPr>
          <w:rFonts w:ascii="Times New Roman" w:eastAsia="Arial" w:hAnsi="Times New Roman" w:cs="Times New Roman"/>
          <w:color w:val="0D0D0D"/>
          <w:sz w:val="28"/>
          <w:szCs w:val="28"/>
          <w:vertAlign w:val="superscript"/>
          <w:lang w:eastAsia="uk-UA" w:bidi="uk-UA"/>
        </w:rPr>
        <w:footnoteReference w:id="5"/>
      </w:r>
      <w:r w:rsidRPr="005605E9">
        <w:rPr>
          <w:rFonts w:ascii="Times New Roman" w:eastAsia="Arial" w:hAnsi="Times New Roman" w:cs="Times New Roman"/>
          <w:color w:val="0D0D0D"/>
          <w:sz w:val="28"/>
          <w:szCs w:val="28"/>
          <w:lang w:eastAsia="uk-UA" w:bidi="uk-UA"/>
        </w:rPr>
        <w:t>. У цьому процес</w:t>
      </w:r>
      <w:r w:rsidR="00851DCD">
        <w:rPr>
          <w:rFonts w:ascii="Times New Roman" w:eastAsia="Arial" w:hAnsi="Times New Roman" w:cs="Times New Roman"/>
          <w:color w:val="0D0D0D"/>
          <w:sz w:val="28"/>
          <w:szCs w:val="28"/>
          <w:lang w:eastAsia="uk-UA" w:bidi="uk-UA"/>
        </w:rPr>
        <w:t>і</w:t>
      </w:r>
      <w:r w:rsidRPr="005605E9">
        <w:rPr>
          <w:rFonts w:ascii="Times New Roman" w:eastAsia="Arial" w:hAnsi="Times New Roman" w:cs="Times New Roman"/>
          <w:color w:val="0D0D0D"/>
          <w:sz w:val="28"/>
          <w:szCs w:val="28"/>
          <w:lang w:eastAsia="uk-UA" w:bidi="uk-UA"/>
        </w:rPr>
        <w:t xml:space="preserve"> правовий державний примус має бути правомірним, нормативно-визначеним, піддаватися контролю і застосовуватися у відповідних процесуальних формах (дотримання належної правової процедури). Обов’язковість здійснення цього кроку через судовий порядок відіграє критичну роль у забезпеченні справедливості та дотриманні конституційних гарантій. Такий підхід не лише забезпечує об’єктивний аналіз фактів, що можуть служити підставою для заборони, але й гарантує участь всіх зацікавлених сторін у судовому процесі. Це також сприяє публічній довірі до правосуддя, виключаючи можливість дружнього або необґрунтованого припинення діяльності політичних сил</w:t>
      </w:r>
      <w:r w:rsidRPr="005605E9">
        <w:rPr>
          <w:rFonts w:ascii="Times New Roman" w:eastAsia="Arial" w:hAnsi="Times New Roman" w:cs="Times New Roman"/>
          <w:color w:val="0D0D0D"/>
          <w:sz w:val="28"/>
          <w:szCs w:val="28"/>
          <w:vertAlign w:val="superscript"/>
          <w:lang w:eastAsia="uk-UA" w:bidi="uk-UA"/>
        </w:rPr>
        <w:footnoteReference w:id="6"/>
      </w:r>
      <w:r w:rsidRPr="005605E9">
        <w:rPr>
          <w:rFonts w:ascii="Times New Roman" w:eastAsia="Arial" w:hAnsi="Times New Roman" w:cs="Times New Roman"/>
          <w:color w:val="0D0D0D"/>
          <w:sz w:val="28"/>
          <w:szCs w:val="28"/>
          <w:lang w:eastAsia="uk-UA" w:bidi="uk-UA"/>
        </w:rPr>
        <w:t xml:space="preserve">. </w:t>
      </w:r>
    </w:p>
    <w:p w14:paraId="264762DF" w14:textId="77777777" w:rsidR="005605E9" w:rsidRPr="005605E9" w:rsidRDefault="005605E9" w:rsidP="005605E9">
      <w:pPr>
        <w:spacing w:after="0" w:line="360" w:lineRule="auto"/>
        <w:ind w:firstLine="709"/>
        <w:jc w:val="both"/>
        <w:rPr>
          <w:rFonts w:ascii="Times New Roman" w:eastAsia="Calibri" w:hAnsi="Times New Roman" w:cs="Times New Roman"/>
          <w:color w:val="0D0D0D"/>
          <w:sz w:val="28"/>
          <w:szCs w:val="28"/>
          <w:lang w:eastAsia="uk-UA" w:bidi="uk-UA"/>
        </w:rPr>
      </w:pPr>
      <w:r w:rsidRPr="005605E9">
        <w:rPr>
          <w:rFonts w:ascii="Times New Roman" w:eastAsia="Calibri" w:hAnsi="Times New Roman" w:cs="Times New Roman"/>
          <w:color w:val="0D0D0D"/>
          <w:sz w:val="28"/>
          <w:szCs w:val="28"/>
        </w:rPr>
        <w:t>Національні інтереси являють собою поєднання збалансованих інтересів особистості, держави й суспільства в соціальній, економічній, внутрішньополітичній, воєнній, міжнародній, інформаційній, екологічній, прикордонної та інших сферах. Національні інтереси визначають головні цілі та мають довгостроковий характер, поточні й стратегічні завдання зовнішньої та внутрішньої політики держави</w:t>
      </w:r>
      <w:r w:rsidRPr="005605E9">
        <w:rPr>
          <w:rFonts w:ascii="Times New Roman" w:eastAsia="Calibri" w:hAnsi="Times New Roman" w:cs="Times New Roman"/>
          <w:color w:val="0D0D0D"/>
          <w:sz w:val="28"/>
          <w:szCs w:val="28"/>
          <w:vertAlign w:val="superscript"/>
        </w:rPr>
        <w:footnoteReference w:id="7"/>
      </w:r>
      <w:r w:rsidRPr="005605E9">
        <w:rPr>
          <w:rFonts w:ascii="Times New Roman" w:eastAsia="Calibri" w:hAnsi="Times New Roman" w:cs="Times New Roman"/>
          <w:color w:val="0D0D0D"/>
          <w:sz w:val="28"/>
          <w:szCs w:val="28"/>
        </w:rPr>
        <w:t xml:space="preserve">. </w:t>
      </w:r>
      <w:bookmarkStart w:id="7" w:name="_Hlk188820655"/>
      <w:r w:rsidRPr="005605E9">
        <w:rPr>
          <w:rFonts w:ascii="Times New Roman" w:eastAsia="Calibri" w:hAnsi="Times New Roman" w:cs="Times New Roman"/>
          <w:color w:val="0D0D0D"/>
          <w:sz w:val="28"/>
          <w:szCs w:val="28"/>
        </w:rPr>
        <w:t xml:space="preserve">Для забезпечення національних інтересів держави на конституційному (та далі на законодавчому) рівнях закріплюються, в тому числі певні заборони </w:t>
      </w:r>
      <w:r w:rsidRPr="005605E9">
        <w:rPr>
          <w:rFonts w:ascii="Times New Roman" w:eastAsia="Calibri" w:hAnsi="Times New Roman" w:cs="Times New Roman"/>
          <w:color w:val="0D0D0D"/>
          <w:sz w:val="28"/>
          <w:szCs w:val="28"/>
          <w:lang w:eastAsia="uk-UA" w:bidi="uk-UA"/>
        </w:rPr>
        <w:t xml:space="preserve">щодо діяльності політичних партії. Закріплення норм-заборон з приводу діяльності політичних партій у широкому підході є закріпленням прояву держаного примусу як основного засобу реалізації норм права (конституційних та законодавчих) через його вид, міру, межі й підстави. </w:t>
      </w:r>
    </w:p>
    <w:p w14:paraId="1BA8DDF4" w14:textId="77777777" w:rsidR="005605E9" w:rsidRPr="005605E9" w:rsidRDefault="005605E9" w:rsidP="005605E9">
      <w:pPr>
        <w:spacing w:after="0" w:line="360" w:lineRule="auto"/>
        <w:ind w:firstLine="709"/>
        <w:jc w:val="both"/>
        <w:rPr>
          <w:rFonts w:ascii="Times New Roman" w:eastAsia="Calibri" w:hAnsi="Times New Roman" w:cs="Times New Roman"/>
          <w:color w:val="0D0D0D"/>
          <w:sz w:val="28"/>
          <w:szCs w:val="28"/>
          <w:lang w:eastAsia="uk-UA" w:bidi="uk-UA"/>
        </w:rPr>
      </w:pPr>
      <w:r w:rsidRPr="005605E9">
        <w:rPr>
          <w:rFonts w:ascii="Times New Roman" w:eastAsia="Calibri" w:hAnsi="Times New Roman" w:cs="Times New Roman"/>
          <w:color w:val="0D0D0D"/>
          <w:sz w:val="28"/>
          <w:szCs w:val="28"/>
          <w:lang w:eastAsia="uk-UA" w:bidi="uk-UA"/>
        </w:rPr>
        <w:t xml:space="preserve">Під інтересами держави у доктрині загалом розуміється </w:t>
      </w:r>
      <w:r w:rsidRPr="005605E9">
        <w:rPr>
          <w:rFonts w:ascii="Times New Roman" w:eastAsia="Calibri" w:hAnsi="Times New Roman" w:cs="Times New Roman"/>
          <w:color w:val="0D0D0D"/>
          <w:sz w:val="28"/>
          <w:szCs w:val="28"/>
        </w:rPr>
        <w:t xml:space="preserve">комплекс збалансованих потреб особи та суспільства, реалізацію яких забезпечують інститути державної влади за взаємодії з громадськими об’єднаннями. </w:t>
      </w:r>
      <w:r w:rsidRPr="005605E9">
        <w:rPr>
          <w:rFonts w:ascii="Times New Roman" w:eastAsia="Calibri" w:hAnsi="Times New Roman" w:cs="Times New Roman"/>
          <w:color w:val="0D0D0D"/>
          <w:sz w:val="28"/>
          <w:szCs w:val="28"/>
          <w:lang w:eastAsia="uk-UA" w:bidi="uk-UA"/>
        </w:rPr>
        <w:t xml:space="preserve">Інтереси держави в демократичних державах в ідеалі мають збігатися із </w:t>
      </w:r>
      <w:r w:rsidRPr="005605E9">
        <w:rPr>
          <w:rFonts w:ascii="Times New Roman" w:eastAsia="Calibri" w:hAnsi="Times New Roman" w:cs="Times New Roman"/>
          <w:color w:val="0D0D0D"/>
          <w:sz w:val="28"/>
          <w:szCs w:val="28"/>
          <w:lang w:eastAsia="uk-UA" w:bidi="uk-UA"/>
        </w:rPr>
        <w:lastRenderedPageBreak/>
        <w:t>національними, зважаючи на єдність, солідарність й патріотичність нації, а можуть мати і самостійне значення. У питанні заборони діяльності політичних партій  інтереси держави безперечно пов’язані із національними інтересами.</w:t>
      </w:r>
    </w:p>
    <w:bookmarkEnd w:id="7"/>
    <w:p w14:paraId="3857A46B" w14:textId="77777777" w:rsidR="005605E9" w:rsidRPr="005605E9" w:rsidRDefault="005605E9" w:rsidP="005605E9">
      <w:pPr>
        <w:spacing w:after="0" w:line="360" w:lineRule="auto"/>
        <w:ind w:firstLine="709"/>
        <w:jc w:val="both"/>
        <w:rPr>
          <w:rFonts w:ascii="Times New Roman" w:eastAsia="Calibri" w:hAnsi="Times New Roman" w:cs="Times New Roman"/>
          <w:color w:val="0D0D0D"/>
          <w:sz w:val="28"/>
          <w:szCs w:val="28"/>
        </w:rPr>
      </w:pPr>
      <w:r w:rsidRPr="005605E9">
        <w:rPr>
          <w:rFonts w:ascii="Times New Roman" w:eastAsia="Calibri" w:hAnsi="Times New Roman" w:cs="Times New Roman"/>
          <w:color w:val="0D0D0D"/>
          <w:sz w:val="28"/>
          <w:szCs w:val="28"/>
        </w:rPr>
        <w:t>Інтереси держави є компонентом суспільних інтересів, реалізація яких відбувається в основних сферах діяльності органів публічної влади: економічної, внутрішньополітичної, соціальної, міжнародної, військової, прикордонної тощо. До розряду пріоритетних державних інтересів може бути віднесено забезпечення суверенітету народу, територіальної цілісності, розвиток демократії, зміцнення політичної стабільності, вдосконалення національних і федеративних відносин тощо. Законні інтереси держави (державні, національні інтереси) забезпечуються діяльністю органів державної влади та органів місцевого самоврядування, реалізацією особистих і суспільних інтересів</w:t>
      </w:r>
      <w:r w:rsidRPr="005605E9">
        <w:rPr>
          <w:rFonts w:ascii="Times New Roman" w:eastAsia="Calibri" w:hAnsi="Times New Roman" w:cs="Times New Roman"/>
          <w:color w:val="0D0D0D"/>
          <w:sz w:val="28"/>
          <w:szCs w:val="28"/>
          <w:vertAlign w:val="superscript"/>
        </w:rPr>
        <w:footnoteReference w:id="8"/>
      </w:r>
      <w:r w:rsidRPr="005605E9">
        <w:rPr>
          <w:rFonts w:ascii="Times New Roman" w:eastAsia="Calibri" w:hAnsi="Times New Roman" w:cs="Times New Roman"/>
          <w:color w:val="0D0D0D"/>
          <w:sz w:val="28"/>
          <w:szCs w:val="28"/>
        </w:rPr>
        <w:t>.</w:t>
      </w:r>
    </w:p>
    <w:p w14:paraId="154B815A" w14:textId="77777777" w:rsidR="005605E9" w:rsidRPr="005605E9" w:rsidRDefault="005605E9" w:rsidP="005605E9">
      <w:pPr>
        <w:spacing w:after="0" w:line="360" w:lineRule="auto"/>
        <w:ind w:firstLine="709"/>
        <w:jc w:val="both"/>
        <w:rPr>
          <w:rFonts w:ascii="Times New Roman" w:eastAsia="Calibri" w:hAnsi="Times New Roman" w:cs="Times New Roman"/>
          <w:color w:val="0D0D0D"/>
          <w:sz w:val="28"/>
          <w:szCs w:val="28"/>
        </w:rPr>
      </w:pPr>
      <w:r w:rsidRPr="005605E9">
        <w:rPr>
          <w:rFonts w:ascii="Times New Roman" w:eastAsia="Calibri" w:hAnsi="Times New Roman" w:cs="Times New Roman"/>
          <w:color w:val="0D0D0D"/>
          <w:sz w:val="28"/>
          <w:szCs w:val="28"/>
          <w:lang w:eastAsia="uk-UA" w:bidi="uk-UA"/>
        </w:rPr>
        <w:t xml:space="preserve">Щодо офіційного тлумачення поняття «інтереси держави», воно здійснене </w:t>
      </w:r>
      <w:r w:rsidRPr="005605E9">
        <w:rPr>
          <w:rFonts w:ascii="Times New Roman" w:eastAsia="Calibri" w:hAnsi="Times New Roman" w:cs="Times New Roman"/>
          <w:color w:val="0D0D0D"/>
          <w:sz w:val="28"/>
          <w:szCs w:val="28"/>
        </w:rPr>
        <w:t>Конституційним Судом України (далі – КСУ) у рішенні 3-рп/199 від 08 квітня 1999 року: «Інтереси держави можуть збігатися повністю, частково або не збігатися зовсім з інтересами державних органів, державних підприємств та організацій чи з інтересами господарських товариств з часткою державної власності у статутному фонді. Проте держава може вбачати свої інтереси не тільки в їх діяльності, але й в діяльності приватних підприємств, товариств</w:t>
      </w:r>
      <w:r w:rsidRPr="005605E9">
        <w:rPr>
          <w:rFonts w:ascii="Times New Roman" w:eastAsia="Calibri" w:hAnsi="Times New Roman" w:cs="Times New Roman"/>
          <w:color w:val="0D0D0D"/>
          <w:sz w:val="28"/>
          <w:szCs w:val="28"/>
          <w:vertAlign w:val="superscript"/>
        </w:rPr>
        <w:footnoteReference w:id="9"/>
      </w:r>
      <w:r w:rsidRPr="005605E9">
        <w:rPr>
          <w:rFonts w:ascii="Times New Roman" w:eastAsia="Calibri" w:hAnsi="Times New Roman" w:cs="Times New Roman"/>
          <w:color w:val="0D0D0D"/>
          <w:sz w:val="28"/>
          <w:szCs w:val="28"/>
        </w:rPr>
        <w:t xml:space="preserve">. Викладене тлумачення є актуальним до сьогодні. Так, зокрема А. Є. </w:t>
      </w:r>
      <w:proofErr w:type="spellStart"/>
      <w:r w:rsidRPr="005605E9">
        <w:rPr>
          <w:rFonts w:ascii="Times New Roman" w:eastAsia="Calibri" w:hAnsi="Times New Roman" w:cs="Times New Roman"/>
          <w:color w:val="0D0D0D"/>
          <w:sz w:val="28"/>
          <w:szCs w:val="28"/>
        </w:rPr>
        <w:t>Кубко</w:t>
      </w:r>
      <w:proofErr w:type="spellEnd"/>
      <w:r w:rsidRPr="005605E9">
        <w:rPr>
          <w:rFonts w:ascii="Times New Roman" w:eastAsia="Calibri" w:hAnsi="Times New Roman" w:cs="Times New Roman"/>
          <w:color w:val="0D0D0D"/>
          <w:sz w:val="28"/>
          <w:szCs w:val="28"/>
        </w:rPr>
        <w:t xml:space="preserve"> наголошує, що наведений підхід КСУ надає важливі методологічні засади для розуміння державних інтересів, що потребують реалізації у правовій системі і їх правильної ідентифікації. Проте </w:t>
      </w:r>
      <w:r w:rsidRPr="005605E9">
        <w:rPr>
          <w:rFonts w:ascii="Times New Roman" w:eastAsia="Calibri" w:hAnsi="Times New Roman" w:cs="Times New Roman"/>
          <w:color w:val="0D0D0D"/>
          <w:sz w:val="28"/>
          <w:szCs w:val="28"/>
        </w:rPr>
        <w:lastRenderedPageBreak/>
        <w:t xml:space="preserve">необхідно враховувати, що в наведеному рішенні інтереси держави тлумачились Конституційним судом у контексті інституту представництва прокуратурою в межах арбітражного процесу. На сьогодні це тлумачення державних інтересів </w:t>
      </w:r>
      <w:r w:rsidRPr="005605E9">
        <w:rPr>
          <w:rFonts w:ascii="Times New Roman" w:eastAsia="Calibri" w:hAnsi="Times New Roman" w:cs="Times New Roman"/>
          <w:i/>
          <w:color w:val="0D0D0D"/>
          <w:sz w:val="28"/>
          <w:szCs w:val="28"/>
        </w:rPr>
        <w:t xml:space="preserve">застосовується в господарському й цивільному провадженні. Такі провадження ґрунтуються на засадах </w:t>
      </w:r>
      <w:proofErr w:type="spellStart"/>
      <w:r w:rsidRPr="005605E9">
        <w:rPr>
          <w:rFonts w:ascii="Times New Roman" w:eastAsia="Calibri" w:hAnsi="Times New Roman" w:cs="Times New Roman"/>
          <w:i/>
          <w:color w:val="0D0D0D"/>
          <w:sz w:val="28"/>
          <w:szCs w:val="28"/>
        </w:rPr>
        <w:t>диспозитивності</w:t>
      </w:r>
      <w:proofErr w:type="spellEnd"/>
      <w:r w:rsidRPr="005605E9">
        <w:rPr>
          <w:rFonts w:ascii="Times New Roman" w:eastAsia="Calibri" w:hAnsi="Times New Roman" w:cs="Times New Roman"/>
          <w:i/>
          <w:color w:val="0D0D0D"/>
          <w:sz w:val="28"/>
          <w:szCs w:val="28"/>
        </w:rPr>
        <w:t>, рівності сторін і спрямовані насамперед на вирішення спорів із цивільно-правових та господарсько-правових договірних відносин. У цих відносинах, а також у судовому провадженні з вирішення спорів, що виникають із них держава знаходиться у рівному щодо інших суб'єктів становищі</w:t>
      </w:r>
      <w:r w:rsidRPr="005605E9">
        <w:rPr>
          <w:rFonts w:ascii="Times New Roman" w:eastAsia="Calibri" w:hAnsi="Times New Roman" w:cs="Times New Roman"/>
          <w:color w:val="0D0D0D"/>
          <w:sz w:val="28"/>
          <w:szCs w:val="28"/>
        </w:rPr>
        <w:t>. Тобто тут держава ніби «підпорядковуються» принципу рівності із іншими сторонами правовідносин</w:t>
      </w:r>
      <w:r w:rsidRPr="005605E9">
        <w:rPr>
          <w:rFonts w:ascii="Times New Roman" w:eastAsia="Calibri" w:hAnsi="Times New Roman" w:cs="Times New Roman"/>
          <w:color w:val="0D0D0D"/>
          <w:sz w:val="28"/>
          <w:szCs w:val="28"/>
          <w:vertAlign w:val="superscript"/>
        </w:rPr>
        <w:footnoteReference w:id="10"/>
      </w:r>
      <w:r w:rsidRPr="005605E9">
        <w:rPr>
          <w:rFonts w:ascii="Times New Roman" w:eastAsia="Calibri" w:hAnsi="Times New Roman" w:cs="Times New Roman"/>
          <w:color w:val="0D0D0D"/>
          <w:sz w:val="28"/>
          <w:szCs w:val="28"/>
        </w:rPr>
        <w:t xml:space="preserve">. </w:t>
      </w:r>
    </w:p>
    <w:p w14:paraId="0CAE236E" w14:textId="77777777" w:rsidR="005605E9" w:rsidRPr="005605E9" w:rsidRDefault="005605E9" w:rsidP="005605E9">
      <w:pPr>
        <w:spacing w:after="0" w:line="360" w:lineRule="auto"/>
        <w:ind w:firstLine="709"/>
        <w:jc w:val="both"/>
        <w:rPr>
          <w:rFonts w:ascii="Times New Roman" w:eastAsia="Calibri" w:hAnsi="Times New Roman" w:cs="Times New Roman"/>
          <w:color w:val="0D0D0D"/>
          <w:sz w:val="28"/>
          <w:szCs w:val="28"/>
          <w:shd w:val="clear" w:color="auto" w:fill="FFFFFF"/>
        </w:rPr>
      </w:pPr>
      <w:r w:rsidRPr="005605E9">
        <w:rPr>
          <w:rFonts w:ascii="Times New Roman" w:eastAsia="Calibri" w:hAnsi="Times New Roman" w:cs="Times New Roman"/>
          <w:color w:val="0D0D0D"/>
          <w:sz w:val="28"/>
          <w:szCs w:val="28"/>
        </w:rPr>
        <w:t>Частина шоста</w:t>
      </w:r>
      <w:r w:rsidRPr="005605E9">
        <w:rPr>
          <w:rFonts w:ascii="Times New Roman" w:eastAsia="Calibri" w:hAnsi="Times New Roman" w:cs="Times New Roman"/>
          <w:color w:val="0D0D0D"/>
          <w:sz w:val="28"/>
          <w:szCs w:val="28"/>
          <w:vertAlign w:val="superscript"/>
        </w:rPr>
        <w:footnoteReference w:id="11"/>
      </w:r>
      <w:r w:rsidRPr="005605E9">
        <w:rPr>
          <w:rFonts w:ascii="Times New Roman" w:eastAsia="Calibri" w:hAnsi="Times New Roman" w:cs="Times New Roman"/>
          <w:color w:val="0D0D0D"/>
          <w:sz w:val="28"/>
          <w:szCs w:val="28"/>
        </w:rPr>
        <w:t xml:space="preserve"> статті 21 Закону України «Про політичні партії»</w:t>
      </w:r>
      <w:r w:rsidRPr="005605E9">
        <w:rPr>
          <w:rFonts w:ascii="Times New Roman" w:eastAsia="Calibri" w:hAnsi="Times New Roman" w:cs="Times New Roman"/>
          <w:color w:val="0D0D0D"/>
          <w:sz w:val="28"/>
          <w:szCs w:val="28"/>
          <w:lang w:val="en-US"/>
        </w:rPr>
        <w:t xml:space="preserve"> </w:t>
      </w:r>
      <w:r w:rsidRPr="005605E9">
        <w:rPr>
          <w:rFonts w:ascii="Times New Roman" w:eastAsia="Calibri" w:hAnsi="Times New Roman" w:cs="Times New Roman"/>
          <w:color w:val="0D0D0D"/>
          <w:sz w:val="28"/>
          <w:szCs w:val="28"/>
        </w:rPr>
        <w:t>визначає, що «у</w:t>
      </w:r>
      <w:r w:rsidRPr="005605E9">
        <w:rPr>
          <w:rFonts w:ascii="Times New Roman" w:eastAsia="Calibri" w:hAnsi="Times New Roman" w:cs="Times New Roman"/>
          <w:color w:val="0D0D0D"/>
          <w:sz w:val="28"/>
          <w:szCs w:val="28"/>
          <w:shd w:val="clear" w:color="auto" w:fill="FFFFFF"/>
        </w:rPr>
        <w:t xml:space="preserve"> разі заборони судом політичної партії майно, кошти та інші активи політичної партії, її обласних, міських, районних організацій, первинних осередків та інших структурних утворень переходять у власність держави, про що зазначається у рішенні суду. Перехід такого майна, коштів та інших активів у власність держави забезпечує центральний орган виконавчої влади, що реалізує державну політику у сфері державної реєстрації (легалізації) об’єднань громадян, інших громадських формувань, у порядку, встановленому Кабінетом Міністрів України»</w:t>
      </w:r>
      <w:r w:rsidRPr="005605E9">
        <w:rPr>
          <w:rFonts w:ascii="Times New Roman" w:eastAsia="Calibri" w:hAnsi="Times New Roman" w:cs="Times New Roman"/>
          <w:color w:val="0D0D0D"/>
          <w:sz w:val="28"/>
          <w:szCs w:val="28"/>
          <w:shd w:val="clear" w:color="auto" w:fill="FFFFFF"/>
          <w:vertAlign w:val="superscript"/>
        </w:rPr>
        <w:footnoteReference w:id="12"/>
      </w:r>
      <w:r w:rsidRPr="005605E9">
        <w:rPr>
          <w:rFonts w:ascii="Times New Roman" w:eastAsia="Calibri" w:hAnsi="Times New Roman" w:cs="Times New Roman"/>
          <w:color w:val="0D0D0D"/>
          <w:sz w:val="28"/>
          <w:szCs w:val="28"/>
          <w:shd w:val="clear" w:color="auto" w:fill="FFFFFF"/>
        </w:rPr>
        <w:t>.</w:t>
      </w:r>
    </w:p>
    <w:p w14:paraId="0F91DC40"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Calibri" w:hAnsi="Times New Roman" w:cs="Times New Roman"/>
          <w:color w:val="0D0D0D"/>
          <w:sz w:val="28"/>
          <w:szCs w:val="28"/>
          <w:shd w:val="clear" w:color="auto" w:fill="FFFFFF"/>
        </w:rPr>
        <w:t xml:space="preserve">Такий порядок встановлено </w:t>
      </w:r>
      <w:r w:rsidRPr="005605E9">
        <w:rPr>
          <w:rFonts w:ascii="Times New Roman" w:eastAsia="Calibri" w:hAnsi="Times New Roman" w:cs="Times New Roman"/>
          <w:color w:val="0D0D0D"/>
          <w:sz w:val="28"/>
          <w:szCs w:val="28"/>
        </w:rPr>
        <w:t>Постановою Кабінету Міністрів України «</w:t>
      </w:r>
      <w:r w:rsidRPr="005605E9">
        <w:rPr>
          <w:rFonts w:ascii="Times New Roman" w:eastAsia="Times New Roman" w:hAnsi="Times New Roman" w:cs="Times New Roman"/>
          <w:color w:val="0D0D0D"/>
          <w:sz w:val="28"/>
          <w:szCs w:val="28"/>
        </w:rPr>
        <w:t>Питання переходу у власність держави майна, коштів та інших активів забороненої судом політичної партії, її обласних, міських, районних організацій, первинних осередків та інших структурних утворень</w:t>
      </w:r>
      <w:r w:rsidRPr="005605E9">
        <w:rPr>
          <w:rFonts w:ascii="Times New Roman" w:eastAsia="Times New Roman" w:hAnsi="Times New Roman" w:cs="Times New Roman"/>
          <w:b/>
          <w:bCs/>
          <w:color w:val="0D0D0D"/>
          <w:sz w:val="28"/>
          <w:szCs w:val="28"/>
        </w:rPr>
        <w:t xml:space="preserve"> </w:t>
      </w:r>
      <w:r w:rsidRPr="005605E9">
        <w:rPr>
          <w:rFonts w:ascii="Times New Roman" w:eastAsia="Calibri" w:hAnsi="Times New Roman" w:cs="Times New Roman"/>
          <w:color w:val="0D0D0D"/>
          <w:sz w:val="28"/>
          <w:szCs w:val="28"/>
        </w:rPr>
        <w:t xml:space="preserve">від 12 серпня 2022 року № 896 (далі – Порядок). </w:t>
      </w:r>
      <w:r w:rsidRPr="005605E9">
        <w:rPr>
          <w:rFonts w:ascii="Times New Roman" w:eastAsia="Times New Roman" w:hAnsi="Times New Roman" w:cs="Times New Roman"/>
          <w:color w:val="0D0D0D"/>
          <w:sz w:val="28"/>
          <w:szCs w:val="28"/>
        </w:rPr>
        <w:t xml:space="preserve">Відповідно до абзацу першого </w:t>
      </w:r>
      <w:r w:rsidRPr="005605E9">
        <w:rPr>
          <w:rFonts w:ascii="Times New Roman" w:eastAsia="Times New Roman" w:hAnsi="Times New Roman" w:cs="Times New Roman"/>
          <w:color w:val="0D0D0D"/>
          <w:sz w:val="28"/>
          <w:szCs w:val="28"/>
        </w:rPr>
        <w:lastRenderedPageBreak/>
        <w:t>пункту 2 Порядку, після набрання законної сили рішенням суду про заборону політичної партії, у резолютивній частині якого зазначено про передачу майна політичної партії у власність держави, Міністерство юстиції України вживає заходів до розшуку майна політичної партії, зокрема за відомостями єдиних та державних реєстрів, держателем яких є Міністерство юстиції України. Абзацом першим пункту 3 Порядку передбачено, що за результатом заходів із розшуку майна політичної партії Міністерство юстиції України складає та затверджує перелік майна політичної партії, переданого у власність держави. В подальшому, Мін’юст протягом 10 робочих днів з дня затвердження переліку майна надсилає його копію та копію рішення суду Фонду державного майна як уповноваженому органу управління цим майном. Фонд державного майна після отримання від Мін’юсту копії переліку майна та копії рішення суду протягом 10 робочих днів вживає заходів до державної реєстрації речових прав на таке майно та/або заходів з прийняття до сфери свого управління відповідних цінних паперів, корпоративних прав.</w:t>
      </w:r>
    </w:p>
    <w:p w14:paraId="69BB39F2" w14:textId="6D5F772A" w:rsidR="005605E9" w:rsidRPr="005605E9" w:rsidRDefault="005605E9" w:rsidP="005605E9">
      <w:pPr>
        <w:spacing w:after="0" w:line="360" w:lineRule="auto"/>
        <w:ind w:firstLine="709"/>
        <w:jc w:val="both"/>
        <w:rPr>
          <w:rFonts w:ascii="Times New Roman" w:eastAsia="Calibri" w:hAnsi="Times New Roman" w:cs="Times New Roman"/>
          <w:b/>
          <w:bCs/>
          <w:color w:val="0D0D0D"/>
          <w:sz w:val="28"/>
          <w:szCs w:val="28"/>
        </w:rPr>
      </w:pPr>
      <w:r w:rsidRPr="005605E9">
        <w:rPr>
          <w:rFonts w:ascii="Times New Roman" w:eastAsia="Times New Roman" w:hAnsi="Times New Roman" w:cs="Times New Roman"/>
          <w:color w:val="0D0D0D"/>
          <w:sz w:val="28"/>
          <w:szCs w:val="28"/>
        </w:rPr>
        <w:t xml:space="preserve">Відтак, </w:t>
      </w:r>
      <w:bookmarkStart w:id="10" w:name="_Hlk188820682"/>
      <w:r w:rsidRPr="005605E9">
        <w:rPr>
          <w:rFonts w:ascii="Times New Roman" w:eastAsia="Times New Roman" w:hAnsi="Times New Roman" w:cs="Times New Roman"/>
          <w:color w:val="0D0D0D"/>
          <w:sz w:val="28"/>
          <w:szCs w:val="28"/>
        </w:rPr>
        <w:t>Фонд державного майна виступає уповноваженим органом управління вказаним майном. А власне дії щодо розшуку майна заборонених політичних партій, в тому числі, шляхом надіслання до державних органів, зокрема АРМА, а також органів місцевого самоврядування, підприємств, установ, організацій незалежно від форми власності запитів (але не виключно), звернення до судів як реалізація юрисди</w:t>
      </w:r>
      <w:r w:rsidR="00F240FA">
        <w:rPr>
          <w:rFonts w:ascii="Times New Roman" w:eastAsia="Times New Roman" w:hAnsi="Times New Roman" w:cs="Times New Roman"/>
          <w:color w:val="0D0D0D"/>
          <w:sz w:val="28"/>
          <w:szCs w:val="28"/>
        </w:rPr>
        <w:t>к</w:t>
      </w:r>
      <w:r w:rsidRPr="005605E9">
        <w:rPr>
          <w:rFonts w:ascii="Times New Roman" w:eastAsia="Times New Roman" w:hAnsi="Times New Roman" w:cs="Times New Roman"/>
          <w:color w:val="0D0D0D"/>
          <w:sz w:val="28"/>
          <w:szCs w:val="28"/>
        </w:rPr>
        <w:t>ційних форм захисту інтересів держави у ви</w:t>
      </w:r>
      <w:r w:rsidR="00851DCD">
        <w:rPr>
          <w:rFonts w:ascii="Times New Roman" w:eastAsia="Times New Roman" w:hAnsi="Times New Roman" w:cs="Times New Roman"/>
          <w:color w:val="0D0D0D"/>
          <w:sz w:val="28"/>
          <w:szCs w:val="28"/>
        </w:rPr>
        <w:t>гля</w:t>
      </w:r>
      <w:r w:rsidRPr="005605E9">
        <w:rPr>
          <w:rFonts w:ascii="Times New Roman" w:eastAsia="Times New Roman" w:hAnsi="Times New Roman" w:cs="Times New Roman"/>
          <w:color w:val="0D0D0D"/>
          <w:sz w:val="28"/>
          <w:szCs w:val="28"/>
        </w:rPr>
        <w:t xml:space="preserve">ді повернення майна у власність Комуністичної партії України з метою подальшого передання у власність держави, покладаються на </w:t>
      </w:r>
      <w:r w:rsidRPr="005605E9">
        <w:rPr>
          <w:rFonts w:ascii="Times New Roman" w:eastAsia="Times New Roman" w:hAnsi="Times New Roman" w:cs="Times New Roman"/>
          <w:b/>
          <w:bCs/>
          <w:color w:val="0D0D0D"/>
          <w:sz w:val="28"/>
          <w:szCs w:val="28"/>
        </w:rPr>
        <w:t xml:space="preserve">Міністерство юстиції України, що робить його уповноваженим органом у досліджуваній процедурі оскарження договору дарування. </w:t>
      </w:r>
    </w:p>
    <w:bookmarkEnd w:id="10"/>
    <w:p w14:paraId="4EAAE9AE" w14:textId="77777777" w:rsidR="005605E9" w:rsidRPr="005605E9" w:rsidRDefault="005605E9" w:rsidP="005605E9">
      <w:pPr>
        <w:spacing w:after="0" w:line="360" w:lineRule="auto"/>
        <w:ind w:firstLine="709"/>
        <w:jc w:val="both"/>
        <w:rPr>
          <w:rFonts w:ascii="Times New Roman" w:eastAsia="Calibri" w:hAnsi="Times New Roman" w:cs="Times New Roman"/>
          <w:color w:val="0D0D0D"/>
          <w:sz w:val="28"/>
          <w:szCs w:val="28"/>
        </w:rPr>
      </w:pPr>
    </w:p>
    <w:p w14:paraId="0DD3A037" w14:textId="77777777" w:rsidR="005605E9" w:rsidRPr="005605E9" w:rsidRDefault="005605E9" w:rsidP="005605E9">
      <w:pPr>
        <w:tabs>
          <w:tab w:val="left" w:pos="993"/>
        </w:tabs>
        <w:spacing w:after="0" w:line="360" w:lineRule="auto"/>
        <w:ind w:firstLine="709"/>
        <w:jc w:val="both"/>
        <w:rPr>
          <w:rFonts w:ascii="Times New Roman" w:eastAsia="Calibri" w:hAnsi="Times New Roman" w:cs="Times New Roman"/>
          <w:i/>
          <w:color w:val="0D0D0D"/>
          <w:sz w:val="28"/>
          <w:szCs w:val="28"/>
        </w:rPr>
      </w:pPr>
      <w:r w:rsidRPr="005605E9">
        <w:rPr>
          <w:rFonts w:ascii="Times New Roman" w:eastAsia="Calibri" w:hAnsi="Times New Roman" w:cs="Times New Roman"/>
          <w:i/>
          <w:color w:val="0D0D0D"/>
          <w:sz w:val="28"/>
          <w:szCs w:val="28"/>
        </w:rPr>
        <w:t xml:space="preserve">2. Чи може конструкція </w:t>
      </w:r>
      <w:proofErr w:type="spellStart"/>
      <w:r w:rsidRPr="005605E9">
        <w:rPr>
          <w:rFonts w:ascii="Times New Roman" w:eastAsia="Calibri" w:hAnsi="Times New Roman" w:cs="Times New Roman"/>
          <w:i/>
          <w:color w:val="0D0D0D"/>
          <w:sz w:val="28"/>
          <w:szCs w:val="28"/>
        </w:rPr>
        <w:t>фраудаторного</w:t>
      </w:r>
      <w:proofErr w:type="spellEnd"/>
      <w:r w:rsidRPr="005605E9">
        <w:rPr>
          <w:rFonts w:ascii="Times New Roman" w:eastAsia="Calibri" w:hAnsi="Times New Roman" w:cs="Times New Roman"/>
          <w:i/>
          <w:color w:val="0D0D0D"/>
          <w:sz w:val="28"/>
          <w:szCs w:val="28"/>
        </w:rPr>
        <w:t xml:space="preserve"> правочину застосовуватися у правовідносинах, пов’язаних з майновими наслідками заборони діяльності </w:t>
      </w:r>
      <w:r w:rsidRPr="005605E9">
        <w:rPr>
          <w:rFonts w:ascii="Times New Roman" w:eastAsia="Calibri" w:hAnsi="Times New Roman" w:cs="Times New Roman"/>
          <w:i/>
          <w:color w:val="0D0D0D"/>
          <w:sz w:val="28"/>
          <w:szCs w:val="28"/>
        </w:rPr>
        <w:lastRenderedPageBreak/>
        <w:t>політичної партії (переходом майна забороненої партії у власність держави)?</w:t>
      </w:r>
    </w:p>
    <w:p w14:paraId="0AB615F5" w14:textId="77777777" w:rsidR="005605E9" w:rsidRPr="005605E9" w:rsidRDefault="005605E9" w:rsidP="005605E9">
      <w:pPr>
        <w:tabs>
          <w:tab w:val="left" w:pos="993"/>
        </w:tabs>
        <w:spacing w:after="0" w:line="360" w:lineRule="auto"/>
        <w:ind w:firstLine="709"/>
        <w:jc w:val="both"/>
        <w:rPr>
          <w:rFonts w:ascii="Times New Roman" w:eastAsia="Calibri" w:hAnsi="Times New Roman" w:cs="Times New Roman"/>
          <w:color w:val="0D0D0D"/>
          <w:sz w:val="28"/>
          <w:szCs w:val="28"/>
        </w:rPr>
      </w:pPr>
    </w:p>
    <w:p w14:paraId="0674FF6C" w14:textId="77777777" w:rsidR="005605E9" w:rsidRPr="005605E9" w:rsidRDefault="005605E9" w:rsidP="005605E9">
      <w:pPr>
        <w:widowControl w:val="0"/>
        <w:spacing w:after="0" w:line="360" w:lineRule="auto"/>
        <w:ind w:firstLine="709"/>
        <w:jc w:val="both"/>
        <w:rPr>
          <w:rFonts w:ascii="Times New Roman" w:eastAsia="Arial" w:hAnsi="Times New Roman" w:cs="Times New Roman"/>
          <w:color w:val="0D0D0D"/>
          <w:sz w:val="28"/>
          <w:szCs w:val="28"/>
          <w:lang w:eastAsia="uk-UA" w:bidi="uk-UA"/>
        </w:rPr>
      </w:pPr>
      <w:r w:rsidRPr="005605E9">
        <w:rPr>
          <w:rFonts w:ascii="Times New Roman" w:eastAsia="Arial" w:hAnsi="Times New Roman" w:cs="Times New Roman"/>
          <w:color w:val="0D0D0D"/>
          <w:sz w:val="28"/>
          <w:szCs w:val="28"/>
          <w:lang w:eastAsia="uk-UA" w:bidi="uk-UA"/>
        </w:rPr>
        <w:t xml:space="preserve">Категорія </w:t>
      </w:r>
      <w:proofErr w:type="spellStart"/>
      <w:r w:rsidRPr="005605E9">
        <w:rPr>
          <w:rFonts w:ascii="Times New Roman" w:eastAsia="Arial" w:hAnsi="Times New Roman" w:cs="Times New Roman"/>
          <w:color w:val="0D0D0D"/>
          <w:sz w:val="28"/>
          <w:szCs w:val="28"/>
          <w:lang w:eastAsia="uk-UA" w:bidi="uk-UA"/>
        </w:rPr>
        <w:t>фраудаторних</w:t>
      </w:r>
      <w:proofErr w:type="spellEnd"/>
      <w:r w:rsidRPr="005605E9">
        <w:rPr>
          <w:rFonts w:ascii="Times New Roman" w:eastAsia="Arial" w:hAnsi="Times New Roman" w:cs="Times New Roman"/>
          <w:color w:val="0D0D0D"/>
          <w:sz w:val="28"/>
          <w:szCs w:val="28"/>
          <w:lang w:eastAsia="uk-UA" w:bidi="uk-UA"/>
        </w:rPr>
        <w:t xml:space="preserve"> [лат. </w:t>
      </w:r>
      <w:proofErr w:type="spellStart"/>
      <w:r w:rsidRPr="005605E9">
        <w:rPr>
          <w:rFonts w:ascii="Times New Roman" w:eastAsia="Arial" w:hAnsi="Times New Roman" w:cs="Times New Roman"/>
          <w:color w:val="0D0D0D"/>
          <w:sz w:val="28"/>
          <w:szCs w:val="28"/>
          <w:lang w:val="en-US" w:bidi="en-US"/>
        </w:rPr>
        <w:t>fraus</w:t>
      </w:r>
      <w:proofErr w:type="spellEnd"/>
      <w:r w:rsidRPr="005605E9">
        <w:rPr>
          <w:rFonts w:ascii="Times New Roman" w:eastAsia="Arial" w:hAnsi="Times New Roman" w:cs="Times New Roman"/>
          <w:color w:val="0D0D0D"/>
          <w:sz w:val="28"/>
          <w:szCs w:val="28"/>
          <w:lang w:val="en-US" w:bidi="en-US"/>
        </w:rPr>
        <w:t xml:space="preserve">, </w:t>
      </w:r>
      <w:proofErr w:type="spellStart"/>
      <w:r w:rsidRPr="005605E9">
        <w:rPr>
          <w:rFonts w:ascii="Times New Roman" w:eastAsia="Arial" w:hAnsi="Times New Roman" w:cs="Times New Roman"/>
          <w:color w:val="0D0D0D"/>
          <w:sz w:val="28"/>
          <w:szCs w:val="28"/>
          <w:lang w:val="en-US" w:bidi="en-US"/>
        </w:rPr>
        <w:t>fraudis</w:t>
      </w:r>
      <w:proofErr w:type="spellEnd"/>
      <w:r w:rsidRPr="005605E9">
        <w:rPr>
          <w:rFonts w:ascii="Times New Roman" w:eastAsia="Arial" w:hAnsi="Times New Roman" w:cs="Times New Roman"/>
          <w:color w:val="0D0D0D"/>
          <w:sz w:val="28"/>
          <w:szCs w:val="28"/>
          <w:lang w:val="en-US" w:bidi="en-US"/>
        </w:rPr>
        <w:t xml:space="preserve"> </w:t>
      </w:r>
      <w:r w:rsidRPr="005605E9">
        <w:rPr>
          <w:rFonts w:ascii="Times New Roman" w:eastAsia="Arial" w:hAnsi="Times New Roman" w:cs="Times New Roman"/>
          <w:color w:val="0D0D0D"/>
          <w:sz w:val="28"/>
          <w:szCs w:val="28"/>
          <w:lang w:eastAsia="uk-UA" w:bidi="uk-UA"/>
        </w:rPr>
        <w:t xml:space="preserve">– обман, хитрість, підступність] правочинів має коріння у давньоримському конкурсному процесі, в якому на випадок розтрати майна боржником в обман кредиторів останнім надавалися особливі засоби судового захисту, одним з яких був </w:t>
      </w:r>
      <w:proofErr w:type="spellStart"/>
      <w:r w:rsidRPr="005605E9">
        <w:rPr>
          <w:rFonts w:ascii="Times New Roman" w:eastAsia="Arial" w:hAnsi="Times New Roman" w:cs="Times New Roman"/>
          <w:color w:val="0D0D0D"/>
          <w:sz w:val="28"/>
          <w:szCs w:val="28"/>
          <w:lang w:val="en-US" w:bidi="en-US"/>
        </w:rPr>
        <w:t>Actio</w:t>
      </w:r>
      <w:proofErr w:type="spellEnd"/>
      <w:r w:rsidRPr="005605E9">
        <w:rPr>
          <w:rFonts w:ascii="Times New Roman" w:eastAsia="Arial" w:hAnsi="Times New Roman" w:cs="Times New Roman"/>
          <w:color w:val="0D0D0D"/>
          <w:sz w:val="28"/>
          <w:szCs w:val="28"/>
          <w:lang w:val="en-US" w:bidi="en-US"/>
        </w:rPr>
        <w:t xml:space="preserve"> </w:t>
      </w:r>
      <w:proofErr w:type="spellStart"/>
      <w:r w:rsidRPr="005605E9">
        <w:rPr>
          <w:rFonts w:ascii="Times New Roman" w:eastAsia="Arial" w:hAnsi="Times New Roman" w:cs="Times New Roman"/>
          <w:color w:val="0D0D0D"/>
          <w:sz w:val="28"/>
          <w:szCs w:val="28"/>
          <w:lang w:val="en-US" w:bidi="en-US"/>
        </w:rPr>
        <w:t>Pauliana</w:t>
      </w:r>
      <w:proofErr w:type="spellEnd"/>
      <w:r w:rsidRPr="005605E9">
        <w:rPr>
          <w:rFonts w:ascii="Times New Roman" w:eastAsia="Arial" w:hAnsi="Times New Roman" w:cs="Times New Roman"/>
          <w:color w:val="0D0D0D"/>
          <w:sz w:val="28"/>
          <w:szCs w:val="28"/>
          <w:lang w:val="en-US" w:bidi="en-US"/>
        </w:rPr>
        <w:t xml:space="preserve">. </w:t>
      </w:r>
      <w:r w:rsidRPr="005605E9">
        <w:rPr>
          <w:rFonts w:ascii="Times New Roman" w:eastAsia="Arial" w:hAnsi="Times New Roman" w:cs="Times New Roman"/>
          <w:color w:val="0D0D0D"/>
          <w:sz w:val="28"/>
          <w:szCs w:val="28"/>
          <w:lang w:eastAsia="uk-UA" w:bidi="uk-UA"/>
        </w:rPr>
        <w:t xml:space="preserve">Розтрата майна мала </w:t>
      </w:r>
      <w:proofErr w:type="spellStart"/>
      <w:r w:rsidRPr="005605E9">
        <w:rPr>
          <w:rFonts w:ascii="Times New Roman" w:eastAsia="Arial" w:hAnsi="Times New Roman" w:cs="Times New Roman"/>
          <w:color w:val="0D0D0D"/>
          <w:sz w:val="28"/>
          <w:szCs w:val="28"/>
          <w:lang w:eastAsia="uk-UA" w:bidi="uk-UA"/>
        </w:rPr>
        <w:t>послідувати</w:t>
      </w:r>
      <w:proofErr w:type="spellEnd"/>
      <w:r w:rsidRPr="005605E9">
        <w:rPr>
          <w:rFonts w:ascii="Times New Roman" w:eastAsia="Arial" w:hAnsi="Times New Roman" w:cs="Times New Roman"/>
          <w:color w:val="0D0D0D"/>
          <w:sz w:val="28"/>
          <w:szCs w:val="28"/>
          <w:lang w:eastAsia="uk-UA" w:bidi="uk-UA"/>
        </w:rPr>
        <w:t xml:space="preserve"> </w:t>
      </w:r>
      <w:proofErr w:type="spellStart"/>
      <w:r w:rsidRPr="005605E9">
        <w:rPr>
          <w:rFonts w:ascii="Times New Roman" w:eastAsia="Arial" w:hAnsi="Times New Roman" w:cs="Times New Roman"/>
          <w:color w:val="0D0D0D"/>
          <w:sz w:val="28"/>
          <w:szCs w:val="28"/>
          <w:lang w:val="en-US" w:bidi="en-US"/>
        </w:rPr>
        <w:t>fraudationis</w:t>
      </w:r>
      <w:proofErr w:type="spellEnd"/>
      <w:r w:rsidRPr="005605E9">
        <w:rPr>
          <w:rFonts w:ascii="Times New Roman" w:eastAsia="Arial" w:hAnsi="Times New Roman" w:cs="Times New Roman"/>
          <w:color w:val="0D0D0D"/>
          <w:sz w:val="28"/>
          <w:szCs w:val="28"/>
          <w:lang w:val="en-US" w:bidi="en-US"/>
        </w:rPr>
        <w:t xml:space="preserve"> causa </w:t>
      </w:r>
      <w:r w:rsidRPr="005605E9">
        <w:rPr>
          <w:rFonts w:ascii="Times New Roman" w:eastAsia="Arial" w:hAnsi="Times New Roman" w:cs="Times New Roman"/>
          <w:color w:val="0D0D0D"/>
          <w:sz w:val="28"/>
          <w:szCs w:val="28"/>
          <w:lang w:eastAsia="uk-UA" w:bidi="uk-UA"/>
        </w:rPr>
        <w:t xml:space="preserve">з наміром боржника нанести майнову шкоду кредиторам. Такий намір з боку боржника </w:t>
      </w:r>
      <w:proofErr w:type="spellStart"/>
      <w:r w:rsidRPr="005605E9">
        <w:rPr>
          <w:rFonts w:ascii="Times New Roman" w:eastAsia="Arial" w:hAnsi="Times New Roman" w:cs="Times New Roman"/>
          <w:color w:val="0D0D0D"/>
          <w:sz w:val="28"/>
          <w:szCs w:val="28"/>
          <w:lang w:eastAsia="uk-UA" w:bidi="uk-UA"/>
        </w:rPr>
        <w:t>презюмувався</w:t>
      </w:r>
      <w:proofErr w:type="spellEnd"/>
      <w:r w:rsidRPr="005605E9">
        <w:rPr>
          <w:rFonts w:ascii="Times New Roman" w:eastAsia="Arial" w:hAnsi="Times New Roman" w:cs="Times New Roman"/>
          <w:color w:val="0D0D0D"/>
          <w:sz w:val="28"/>
          <w:szCs w:val="28"/>
          <w:lang w:eastAsia="uk-UA" w:bidi="uk-UA"/>
        </w:rPr>
        <w:t>, якщо він, маючи борги, відчужував усе своє майно</w:t>
      </w:r>
      <w:r w:rsidRPr="005605E9">
        <w:rPr>
          <w:rFonts w:ascii="Times New Roman" w:eastAsia="Arial" w:hAnsi="Times New Roman" w:cs="Times New Roman"/>
          <w:color w:val="0D0D0D"/>
          <w:sz w:val="28"/>
          <w:szCs w:val="28"/>
          <w:vertAlign w:val="superscript"/>
          <w:lang w:eastAsia="uk-UA" w:bidi="uk-UA"/>
        </w:rPr>
        <w:footnoteReference w:id="13"/>
      </w:r>
      <w:r w:rsidRPr="005605E9">
        <w:rPr>
          <w:rFonts w:ascii="Times New Roman" w:eastAsia="Arial" w:hAnsi="Times New Roman" w:cs="Times New Roman"/>
          <w:color w:val="0D0D0D"/>
          <w:sz w:val="28"/>
          <w:szCs w:val="28"/>
          <w:lang w:eastAsia="uk-UA" w:bidi="uk-UA"/>
        </w:rPr>
        <w:t>.</w:t>
      </w:r>
    </w:p>
    <w:p w14:paraId="5177742D" w14:textId="632FEBBA" w:rsidR="005605E9" w:rsidRPr="005605E9" w:rsidRDefault="005605E9" w:rsidP="005605E9">
      <w:pPr>
        <w:widowControl w:val="0"/>
        <w:spacing w:after="0" w:line="360" w:lineRule="auto"/>
        <w:ind w:firstLine="709"/>
        <w:jc w:val="both"/>
        <w:rPr>
          <w:rFonts w:ascii="Times New Roman" w:eastAsia="Arial" w:hAnsi="Times New Roman" w:cs="Times New Roman"/>
          <w:color w:val="0D0D0D"/>
          <w:sz w:val="28"/>
          <w:szCs w:val="28"/>
          <w:lang w:eastAsia="uk-UA" w:bidi="uk-UA"/>
        </w:rPr>
      </w:pPr>
      <w:r w:rsidRPr="005605E9">
        <w:rPr>
          <w:rFonts w:ascii="Times New Roman" w:eastAsia="Arial" w:hAnsi="Times New Roman" w:cs="Times New Roman"/>
          <w:color w:val="0D0D0D"/>
          <w:sz w:val="28"/>
          <w:szCs w:val="28"/>
          <w:lang w:eastAsia="uk-UA" w:bidi="uk-UA"/>
        </w:rPr>
        <w:t>У цивільному та господарському законодавстві України поняття «</w:t>
      </w:r>
      <w:proofErr w:type="spellStart"/>
      <w:r w:rsidRPr="005605E9">
        <w:rPr>
          <w:rFonts w:ascii="Times New Roman" w:eastAsia="Arial" w:hAnsi="Times New Roman" w:cs="Times New Roman"/>
          <w:color w:val="0D0D0D"/>
          <w:sz w:val="28"/>
          <w:szCs w:val="28"/>
          <w:lang w:eastAsia="uk-UA" w:bidi="uk-UA"/>
        </w:rPr>
        <w:t>фраудаторний</w:t>
      </w:r>
      <w:proofErr w:type="spellEnd"/>
      <w:r w:rsidRPr="005605E9">
        <w:rPr>
          <w:rFonts w:ascii="Times New Roman" w:eastAsia="Arial" w:hAnsi="Times New Roman" w:cs="Times New Roman"/>
          <w:color w:val="0D0D0D"/>
          <w:sz w:val="28"/>
          <w:szCs w:val="28"/>
          <w:lang w:eastAsia="uk-UA" w:bidi="uk-UA"/>
        </w:rPr>
        <w:t xml:space="preserve"> правочин» не використовується, але наразі конструкція </w:t>
      </w:r>
      <w:proofErr w:type="spellStart"/>
      <w:r w:rsidRPr="005605E9">
        <w:rPr>
          <w:rFonts w:ascii="Times New Roman" w:eastAsia="Arial" w:hAnsi="Times New Roman" w:cs="Times New Roman"/>
          <w:color w:val="0D0D0D"/>
          <w:sz w:val="28"/>
          <w:szCs w:val="28"/>
          <w:lang w:eastAsia="uk-UA" w:bidi="uk-UA"/>
        </w:rPr>
        <w:t>фраудаторного</w:t>
      </w:r>
      <w:proofErr w:type="spellEnd"/>
      <w:r w:rsidRPr="005605E9">
        <w:rPr>
          <w:rFonts w:ascii="Times New Roman" w:eastAsia="Arial" w:hAnsi="Times New Roman" w:cs="Times New Roman"/>
          <w:color w:val="0D0D0D"/>
          <w:sz w:val="28"/>
          <w:szCs w:val="28"/>
          <w:lang w:eastAsia="uk-UA" w:bidi="uk-UA"/>
        </w:rPr>
        <w:t xml:space="preserve"> правочину доволі активно застосовується Верховним Судом (далі – ВС) насамперед під час вирішенні справ цивільної юрисдикції: «право – чином, що вчиняється на шкоду кредиторам (</w:t>
      </w:r>
      <w:proofErr w:type="spellStart"/>
      <w:r w:rsidRPr="005605E9">
        <w:rPr>
          <w:rFonts w:ascii="Times New Roman" w:eastAsia="Arial" w:hAnsi="Times New Roman" w:cs="Times New Roman"/>
          <w:color w:val="0D0D0D"/>
          <w:sz w:val="28"/>
          <w:szCs w:val="28"/>
          <w:lang w:eastAsia="uk-UA" w:bidi="uk-UA"/>
        </w:rPr>
        <w:t>фраудаторним</w:t>
      </w:r>
      <w:proofErr w:type="spellEnd"/>
      <w:r w:rsidRPr="005605E9">
        <w:rPr>
          <w:rFonts w:ascii="Times New Roman" w:eastAsia="Arial" w:hAnsi="Times New Roman" w:cs="Times New Roman"/>
          <w:color w:val="0D0D0D"/>
          <w:sz w:val="28"/>
          <w:szCs w:val="28"/>
          <w:lang w:eastAsia="uk-UA" w:bidi="uk-UA"/>
        </w:rPr>
        <w:t xml:space="preserve"> правочином), може бути як односторонній, так і двосторонній чи </w:t>
      </w:r>
      <w:r w:rsidR="003669E1">
        <w:rPr>
          <w:rFonts w:ascii="Times New Roman" w:eastAsia="Arial" w:hAnsi="Times New Roman" w:cs="Times New Roman"/>
          <w:color w:val="0D0D0D"/>
          <w:sz w:val="28"/>
          <w:szCs w:val="28"/>
          <w:lang w:eastAsia="uk-UA" w:bidi="uk-UA"/>
        </w:rPr>
        <w:t>багатосторонній правочин. Засто</w:t>
      </w:r>
      <w:r w:rsidRPr="005605E9">
        <w:rPr>
          <w:rFonts w:ascii="Times New Roman" w:eastAsia="Arial" w:hAnsi="Times New Roman" w:cs="Times New Roman"/>
          <w:color w:val="0D0D0D"/>
          <w:sz w:val="28"/>
          <w:szCs w:val="28"/>
          <w:lang w:eastAsia="uk-UA" w:bidi="uk-UA"/>
        </w:rPr>
        <w:t>сування конструкції «</w:t>
      </w:r>
      <w:proofErr w:type="spellStart"/>
      <w:r w:rsidRPr="005605E9">
        <w:rPr>
          <w:rFonts w:ascii="Times New Roman" w:eastAsia="Arial" w:hAnsi="Times New Roman" w:cs="Times New Roman"/>
          <w:color w:val="0D0D0D"/>
          <w:sz w:val="28"/>
          <w:szCs w:val="28"/>
          <w:lang w:eastAsia="uk-UA" w:bidi="uk-UA"/>
        </w:rPr>
        <w:t>фраудаторності</w:t>
      </w:r>
      <w:proofErr w:type="spellEnd"/>
      <w:r w:rsidRPr="005605E9">
        <w:rPr>
          <w:rFonts w:ascii="Times New Roman" w:eastAsia="Arial" w:hAnsi="Times New Roman" w:cs="Times New Roman"/>
          <w:color w:val="0D0D0D"/>
          <w:sz w:val="28"/>
          <w:szCs w:val="28"/>
          <w:lang w:eastAsia="uk-UA" w:bidi="uk-UA"/>
        </w:rPr>
        <w:t>» при односторонньому правочинові має певну специфіку, яка проявляється в обставинах, що дозволяють кваліфікувати односторонній правочин як такий, що вчинений на шкоду кредитору. До таких обставин, зокрема, відноситься те, що внаслідок вчинення одностороннього правочину відбувається унеможливлення зв</w:t>
      </w:r>
      <w:r w:rsidR="003669E1">
        <w:rPr>
          <w:rFonts w:ascii="Times New Roman" w:eastAsia="Arial" w:hAnsi="Times New Roman" w:cs="Times New Roman"/>
          <w:color w:val="0D0D0D"/>
          <w:sz w:val="28"/>
          <w:szCs w:val="28"/>
          <w:lang w:eastAsia="uk-UA" w:bidi="uk-UA"/>
        </w:rPr>
        <w:t>ернення стягнення на майно борж</w:t>
      </w:r>
      <w:r w:rsidRPr="005605E9">
        <w:rPr>
          <w:rFonts w:ascii="Times New Roman" w:eastAsia="Arial" w:hAnsi="Times New Roman" w:cs="Times New Roman"/>
          <w:color w:val="0D0D0D"/>
          <w:sz w:val="28"/>
          <w:szCs w:val="28"/>
          <w:lang w:eastAsia="uk-UA" w:bidi="uk-UA"/>
        </w:rPr>
        <w:t>ника чи зменшується обсяг майна» (постанова ВС від 24.02.2021 р. у справі № 757/33392/16)</w:t>
      </w:r>
      <w:r w:rsidRPr="005605E9">
        <w:rPr>
          <w:rFonts w:ascii="Times New Roman" w:eastAsia="Arial" w:hAnsi="Times New Roman" w:cs="Times New Roman"/>
          <w:color w:val="0D0D0D"/>
          <w:sz w:val="28"/>
          <w:szCs w:val="28"/>
          <w:vertAlign w:val="superscript"/>
          <w:lang w:eastAsia="uk-UA" w:bidi="uk-UA"/>
        </w:rPr>
        <w:t xml:space="preserve"> </w:t>
      </w:r>
      <w:r w:rsidRPr="005605E9">
        <w:rPr>
          <w:rFonts w:ascii="Times New Roman" w:eastAsia="Arial" w:hAnsi="Times New Roman" w:cs="Times New Roman"/>
          <w:color w:val="0D0D0D"/>
          <w:sz w:val="28"/>
          <w:szCs w:val="28"/>
          <w:vertAlign w:val="superscript"/>
          <w:lang w:eastAsia="uk-UA" w:bidi="uk-UA"/>
        </w:rPr>
        <w:footnoteReference w:id="14"/>
      </w:r>
      <w:r w:rsidRPr="005605E9">
        <w:rPr>
          <w:rFonts w:ascii="Times New Roman" w:eastAsia="Arial" w:hAnsi="Times New Roman" w:cs="Times New Roman"/>
          <w:color w:val="0D0D0D"/>
          <w:sz w:val="28"/>
          <w:szCs w:val="28"/>
          <w:lang w:eastAsia="uk-UA" w:bidi="uk-UA"/>
        </w:rPr>
        <w:t>.</w:t>
      </w:r>
    </w:p>
    <w:p w14:paraId="6EB0C70C" w14:textId="77777777" w:rsidR="005605E9" w:rsidRPr="005605E9" w:rsidRDefault="005605E9" w:rsidP="005605E9">
      <w:pPr>
        <w:spacing w:after="0" w:line="360" w:lineRule="auto"/>
        <w:ind w:firstLine="709"/>
        <w:jc w:val="both"/>
        <w:rPr>
          <w:rFonts w:ascii="Times New Roman" w:eastAsia="Calibri" w:hAnsi="Times New Roman" w:cs="Times New Roman"/>
          <w:color w:val="0D0D0D"/>
          <w:sz w:val="28"/>
          <w:szCs w:val="28"/>
        </w:rPr>
      </w:pPr>
      <w:proofErr w:type="spellStart"/>
      <w:r w:rsidRPr="005605E9">
        <w:rPr>
          <w:rFonts w:ascii="Times New Roman" w:eastAsia="Calibri" w:hAnsi="Times New Roman" w:cs="Times New Roman"/>
          <w:color w:val="0D0D0D"/>
          <w:sz w:val="28"/>
          <w:szCs w:val="28"/>
        </w:rPr>
        <w:t>Фраудаторні</w:t>
      </w:r>
      <w:proofErr w:type="spellEnd"/>
      <w:r w:rsidRPr="005605E9">
        <w:rPr>
          <w:rFonts w:ascii="Times New Roman" w:eastAsia="Calibri" w:hAnsi="Times New Roman" w:cs="Times New Roman"/>
          <w:color w:val="0D0D0D"/>
          <w:sz w:val="28"/>
          <w:szCs w:val="28"/>
        </w:rPr>
        <w:t xml:space="preserve"> правочини (правочини, що вчинені боржником на шкоду кредиторам) в українському законодавстві регулюються тільки в певних сферах… Велика Палата Верховного Суду … зазначає, </w:t>
      </w:r>
      <w:r w:rsidRPr="005605E9">
        <w:rPr>
          <w:rFonts w:ascii="Times New Roman" w:eastAsia="Calibri" w:hAnsi="Times New Roman" w:cs="Times New Roman"/>
          <w:b/>
          <w:bCs/>
          <w:color w:val="0D0D0D"/>
          <w:sz w:val="28"/>
          <w:szCs w:val="28"/>
        </w:rPr>
        <w:t xml:space="preserve">що позивач вправі звернутися до суду із позовом про визнання договору недійсним, як </w:t>
      </w:r>
      <w:r w:rsidRPr="005605E9">
        <w:rPr>
          <w:rFonts w:ascii="Times New Roman" w:eastAsia="Calibri" w:hAnsi="Times New Roman" w:cs="Times New Roman"/>
          <w:b/>
          <w:bCs/>
          <w:color w:val="0D0D0D"/>
          <w:sz w:val="28"/>
          <w:szCs w:val="28"/>
        </w:rPr>
        <w:lastRenderedPageBreak/>
        <w:t>такого, що направлений на уникнення звернення стягнення на майно боржника</w:t>
      </w:r>
      <w:r w:rsidRPr="005605E9">
        <w:rPr>
          <w:rFonts w:ascii="Times New Roman" w:eastAsia="Calibri" w:hAnsi="Times New Roman" w:cs="Times New Roman"/>
          <w:color w:val="0D0D0D"/>
          <w:sz w:val="28"/>
          <w:szCs w:val="28"/>
        </w:rPr>
        <w:t>, на підставі загальних засад цивільного законодавства (пункт 6 статті 3 ЦК України) та недопустимості зловживання правом (частина третя статті 13 ЦК України), та послатися на спеціальну норму, що передбачає підставу визнання правочину недійсним, якою може бути як підстава, передбачена статтею 234 ЦК України, так і інша, наприклад, підстава, передбачена статтею 228 ЦК України (висновок Великої Палати Верховного Суду 03 липня 2019 (№ 369/11268/16-ц).)</w:t>
      </w:r>
      <w:r w:rsidRPr="005605E9">
        <w:rPr>
          <w:rFonts w:ascii="Times New Roman" w:eastAsia="Calibri" w:hAnsi="Times New Roman" w:cs="Times New Roman"/>
          <w:color w:val="0D0D0D"/>
          <w:sz w:val="28"/>
          <w:szCs w:val="28"/>
          <w:vertAlign w:val="superscript"/>
        </w:rPr>
        <w:t xml:space="preserve"> </w:t>
      </w:r>
      <w:r w:rsidRPr="005605E9">
        <w:rPr>
          <w:rFonts w:ascii="Times New Roman" w:eastAsia="Calibri" w:hAnsi="Times New Roman" w:cs="Times New Roman"/>
          <w:color w:val="0D0D0D"/>
          <w:sz w:val="28"/>
          <w:szCs w:val="28"/>
          <w:vertAlign w:val="superscript"/>
        </w:rPr>
        <w:footnoteReference w:id="15"/>
      </w:r>
      <w:r w:rsidRPr="005605E9">
        <w:rPr>
          <w:rFonts w:ascii="Times New Roman" w:eastAsia="Calibri" w:hAnsi="Times New Roman" w:cs="Times New Roman"/>
          <w:color w:val="0D0D0D"/>
          <w:sz w:val="28"/>
          <w:szCs w:val="28"/>
        </w:rPr>
        <w:t>.</w:t>
      </w:r>
    </w:p>
    <w:p w14:paraId="0ED11C5C" w14:textId="77777777" w:rsidR="005605E9" w:rsidRPr="005605E9" w:rsidRDefault="005605E9" w:rsidP="005605E9">
      <w:pPr>
        <w:spacing w:after="0" w:line="360" w:lineRule="auto"/>
        <w:ind w:firstLine="709"/>
        <w:jc w:val="both"/>
        <w:rPr>
          <w:rFonts w:ascii="Times New Roman" w:eastAsia="Calibri" w:hAnsi="Times New Roman" w:cs="Times New Roman"/>
          <w:color w:val="0D0D0D"/>
          <w:sz w:val="28"/>
          <w:szCs w:val="28"/>
        </w:rPr>
      </w:pPr>
      <w:bookmarkStart w:id="12" w:name="_Hlk188820725"/>
      <w:r w:rsidRPr="005605E9">
        <w:rPr>
          <w:rFonts w:ascii="Times New Roman" w:eastAsia="Calibri" w:hAnsi="Times New Roman" w:cs="Times New Roman"/>
          <w:color w:val="0D0D0D"/>
          <w:sz w:val="28"/>
          <w:szCs w:val="28"/>
        </w:rPr>
        <w:t xml:space="preserve">У досліджуваному випадку сторони є пов’язаними особами їх спільною діяльністю, наявністю обопільного волевиявлення на збереження майна комуністичної партії будь-якими формально законними способами, використовуючи намір для приховання іншого. Правові передумови майбутнього переходу майна у власність держави були реально прогнозованими у недалекому майбутньому, зважаючи на відкрите адміністративне провадження про заборону комуністичної партії. Відштовхуючись від загальних процесуальних строків, визначених КАС України, можна зазначити, що укладення договору дарування менше ніж через місяць після відкриття провадження свідчить про укладення договору дарування не для дійсного переходу власності до Благодійного Фонду, а з прихованою метою недопущення переходу будівлі забороненої комуністичної партії у власність держави. </w:t>
      </w:r>
    </w:p>
    <w:p w14:paraId="0739B8C9" w14:textId="77777777" w:rsidR="005605E9" w:rsidRPr="005605E9" w:rsidRDefault="005605E9" w:rsidP="005605E9">
      <w:pPr>
        <w:tabs>
          <w:tab w:val="left" w:pos="993"/>
        </w:tabs>
        <w:spacing w:after="0" w:line="360" w:lineRule="auto"/>
        <w:ind w:firstLine="709"/>
        <w:jc w:val="both"/>
        <w:rPr>
          <w:rFonts w:ascii="Times New Roman" w:eastAsia="Calibri" w:hAnsi="Times New Roman" w:cs="Times New Roman"/>
          <w:color w:val="0D0D0D"/>
          <w:sz w:val="28"/>
          <w:szCs w:val="28"/>
        </w:rPr>
      </w:pPr>
      <w:r w:rsidRPr="005605E9">
        <w:rPr>
          <w:rFonts w:ascii="Times New Roman" w:eastAsia="Calibri" w:hAnsi="Times New Roman" w:cs="Times New Roman"/>
          <w:color w:val="0D0D0D"/>
          <w:sz w:val="28"/>
          <w:szCs w:val="28"/>
        </w:rPr>
        <w:t>Цитований висновок Великої Палати Верховного Суду дозволяє поширити його на правовідносини укладення безоплатного одностороннього правочину, з метою оперативного виведення потенційно забороненого суб’єкта з числа власників нерухомого майна, внаслідок реальної майбутньої заборони діяльності партії за рішенням суду. Укладення такого договору допомогло зберегти майно у приватній власності будь-яким формально-</w:t>
      </w:r>
      <w:r w:rsidRPr="005605E9">
        <w:rPr>
          <w:rFonts w:ascii="Times New Roman" w:eastAsia="Calibri" w:hAnsi="Times New Roman" w:cs="Times New Roman"/>
          <w:color w:val="0D0D0D"/>
          <w:sz w:val="28"/>
          <w:szCs w:val="28"/>
        </w:rPr>
        <w:lastRenderedPageBreak/>
        <w:t xml:space="preserve">законним шляхом, що в суті правовідносин завдало шкоди інтересам держави. </w:t>
      </w:r>
    </w:p>
    <w:p w14:paraId="4C72B5CF" w14:textId="77777777" w:rsidR="005605E9" w:rsidRPr="005605E9" w:rsidRDefault="005605E9" w:rsidP="005605E9">
      <w:pPr>
        <w:tabs>
          <w:tab w:val="left" w:pos="993"/>
        </w:tabs>
        <w:spacing w:after="0" w:line="360" w:lineRule="auto"/>
        <w:ind w:firstLine="709"/>
        <w:jc w:val="both"/>
        <w:rPr>
          <w:rFonts w:ascii="Times New Roman" w:eastAsia="Calibri" w:hAnsi="Times New Roman" w:cs="Times New Roman"/>
          <w:color w:val="0D0D0D"/>
          <w:sz w:val="28"/>
          <w:szCs w:val="28"/>
        </w:rPr>
      </w:pPr>
      <w:r w:rsidRPr="005605E9">
        <w:rPr>
          <w:rFonts w:ascii="Times New Roman" w:eastAsia="Calibri" w:hAnsi="Times New Roman" w:cs="Times New Roman"/>
          <w:color w:val="0D0D0D"/>
          <w:sz w:val="28"/>
          <w:szCs w:val="28"/>
        </w:rPr>
        <w:t xml:space="preserve">Договір дарування може бути кваліфікований як </w:t>
      </w:r>
      <w:proofErr w:type="spellStart"/>
      <w:r w:rsidRPr="005605E9">
        <w:rPr>
          <w:rFonts w:ascii="Times New Roman" w:eastAsia="Calibri" w:hAnsi="Times New Roman" w:cs="Times New Roman"/>
          <w:color w:val="0D0D0D"/>
          <w:sz w:val="28"/>
          <w:szCs w:val="28"/>
        </w:rPr>
        <w:t>фраудаторний</w:t>
      </w:r>
      <w:proofErr w:type="spellEnd"/>
      <w:r w:rsidRPr="005605E9">
        <w:rPr>
          <w:rFonts w:ascii="Times New Roman" w:eastAsia="Calibri" w:hAnsi="Times New Roman" w:cs="Times New Roman"/>
          <w:color w:val="0D0D0D"/>
          <w:sz w:val="28"/>
          <w:szCs w:val="28"/>
        </w:rPr>
        <w:t xml:space="preserve"> – його укладення було спрямоване на уникнення переходу майна (будівлі) у дохід держави.</w:t>
      </w:r>
    </w:p>
    <w:bookmarkEnd w:id="12"/>
    <w:p w14:paraId="67B5A847" w14:textId="77777777" w:rsidR="005605E9" w:rsidRPr="005605E9" w:rsidRDefault="005605E9" w:rsidP="005605E9">
      <w:pPr>
        <w:spacing w:after="0" w:line="360" w:lineRule="auto"/>
        <w:ind w:firstLine="709"/>
        <w:jc w:val="both"/>
        <w:rPr>
          <w:rFonts w:ascii="Times New Roman" w:eastAsia="Calibri" w:hAnsi="Times New Roman" w:cs="Times New Roman"/>
          <w:color w:val="0D0D0D"/>
          <w:sz w:val="28"/>
          <w:szCs w:val="28"/>
        </w:rPr>
      </w:pPr>
    </w:p>
    <w:p w14:paraId="3F05A314" w14:textId="77777777" w:rsidR="005605E9" w:rsidRPr="005605E9" w:rsidRDefault="005605E9" w:rsidP="005605E9">
      <w:pPr>
        <w:tabs>
          <w:tab w:val="left" w:pos="993"/>
        </w:tabs>
        <w:spacing w:after="0" w:line="360" w:lineRule="auto"/>
        <w:ind w:firstLine="709"/>
        <w:contextualSpacing/>
        <w:jc w:val="both"/>
        <w:rPr>
          <w:rFonts w:ascii="Times New Roman" w:eastAsia="Calibri" w:hAnsi="Times New Roman" w:cs="Times New Roman"/>
          <w:i/>
          <w:color w:val="0D0D0D"/>
          <w:sz w:val="28"/>
          <w:szCs w:val="28"/>
        </w:rPr>
      </w:pPr>
      <w:r w:rsidRPr="005605E9">
        <w:rPr>
          <w:rFonts w:ascii="Times New Roman" w:eastAsia="Calibri" w:hAnsi="Times New Roman" w:cs="Times New Roman"/>
          <w:i/>
          <w:color w:val="0D0D0D"/>
          <w:sz w:val="28"/>
          <w:szCs w:val="28"/>
        </w:rPr>
        <w:t>3. Чи може бути правочин кваліфікований як фіктивний у разі, якщо на виконання правочину було передано майно?</w:t>
      </w:r>
    </w:p>
    <w:p w14:paraId="564E16B3" w14:textId="77777777" w:rsidR="005605E9" w:rsidRPr="005605E9" w:rsidRDefault="005605E9" w:rsidP="005605E9">
      <w:pPr>
        <w:tabs>
          <w:tab w:val="left" w:pos="993"/>
        </w:tabs>
        <w:spacing w:after="0" w:line="360" w:lineRule="auto"/>
        <w:ind w:firstLine="709"/>
        <w:contextualSpacing/>
        <w:jc w:val="both"/>
        <w:rPr>
          <w:rFonts w:ascii="Times New Roman" w:eastAsia="Calibri" w:hAnsi="Times New Roman" w:cs="Times New Roman"/>
          <w:i/>
          <w:color w:val="0D0D0D"/>
          <w:sz w:val="28"/>
          <w:szCs w:val="28"/>
        </w:rPr>
      </w:pPr>
    </w:p>
    <w:p w14:paraId="0CC9A21A" w14:textId="77777777" w:rsidR="005605E9" w:rsidRPr="005605E9" w:rsidRDefault="005605E9" w:rsidP="005605E9">
      <w:pPr>
        <w:spacing w:after="0" w:line="360" w:lineRule="auto"/>
        <w:ind w:firstLine="709"/>
        <w:jc w:val="both"/>
        <w:rPr>
          <w:rFonts w:ascii="Times New Roman" w:eastAsia="Calibri" w:hAnsi="Times New Roman" w:cs="Times New Roman"/>
          <w:color w:val="0D0D0D"/>
          <w:sz w:val="28"/>
          <w:szCs w:val="28"/>
        </w:rPr>
      </w:pPr>
      <w:r w:rsidRPr="005605E9">
        <w:rPr>
          <w:rFonts w:ascii="Times New Roman" w:eastAsia="Calibri" w:hAnsi="Times New Roman" w:cs="Times New Roman"/>
          <w:color w:val="0D0D0D"/>
          <w:sz w:val="28"/>
          <w:szCs w:val="28"/>
        </w:rPr>
        <w:t xml:space="preserve">Велика Палата Верховного Суду у справі № 369/11268/16-ц (провадження № 14-260цс19) сформулювала підхід, за яким </w:t>
      </w:r>
      <w:r w:rsidRPr="005605E9">
        <w:rPr>
          <w:rFonts w:ascii="Times New Roman" w:eastAsia="Calibri" w:hAnsi="Times New Roman" w:cs="Times New Roman"/>
          <w:b/>
          <w:color w:val="0D0D0D"/>
          <w:sz w:val="28"/>
          <w:szCs w:val="28"/>
        </w:rPr>
        <w:t xml:space="preserve">допускається кваліфікація </w:t>
      </w:r>
      <w:proofErr w:type="spellStart"/>
      <w:r w:rsidRPr="005605E9">
        <w:rPr>
          <w:rFonts w:ascii="Times New Roman" w:eastAsia="Calibri" w:hAnsi="Times New Roman" w:cs="Times New Roman"/>
          <w:b/>
          <w:color w:val="0D0D0D"/>
          <w:sz w:val="28"/>
          <w:szCs w:val="28"/>
        </w:rPr>
        <w:t>фраудаторного</w:t>
      </w:r>
      <w:proofErr w:type="spellEnd"/>
      <w:r w:rsidRPr="005605E9">
        <w:rPr>
          <w:rFonts w:ascii="Times New Roman" w:eastAsia="Calibri" w:hAnsi="Times New Roman" w:cs="Times New Roman"/>
          <w:b/>
          <w:color w:val="0D0D0D"/>
          <w:sz w:val="28"/>
          <w:szCs w:val="28"/>
        </w:rPr>
        <w:t xml:space="preserve"> правочину</w:t>
      </w:r>
      <w:r w:rsidRPr="005605E9">
        <w:rPr>
          <w:rFonts w:ascii="Times New Roman" w:eastAsia="Calibri" w:hAnsi="Times New Roman" w:cs="Times New Roman"/>
          <w:color w:val="0D0D0D"/>
          <w:sz w:val="28"/>
          <w:szCs w:val="28"/>
        </w:rPr>
        <w:t xml:space="preserve"> в позаконкурсному оспорюванні як:</w:t>
      </w:r>
    </w:p>
    <w:p w14:paraId="2E5C8774" w14:textId="77777777" w:rsidR="005605E9" w:rsidRPr="005605E9" w:rsidRDefault="005605E9" w:rsidP="005605E9">
      <w:pPr>
        <w:numPr>
          <w:ilvl w:val="0"/>
          <w:numId w:val="7"/>
        </w:numPr>
        <w:tabs>
          <w:tab w:val="left" w:pos="993"/>
        </w:tabs>
        <w:spacing w:after="0" w:line="360" w:lineRule="auto"/>
        <w:ind w:left="0" w:firstLine="709"/>
        <w:contextualSpacing/>
        <w:jc w:val="both"/>
        <w:rPr>
          <w:rFonts w:ascii="Times New Roman" w:eastAsia="Calibri" w:hAnsi="Times New Roman" w:cs="Times New Roman"/>
          <w:color w:val="0D0D0D"/>
          <w:sz w:val="28"/>
          <w:szCs w:val="28"/>
        </w:rPr>
      </w:pPr>
      <w:r w:rsidRPr="00F240FA">
        <w:rPr>
          <w:rFonts w:ascii="Times New Roman" w:eastAsia="Calibri" w:hAnsi="Times New Roman" w:cs="Times New Roman"/>
          <w:bCs/>
          <w:color w:val="0D0D0D"/>
          <w:sz w:val="28"/>
          <w:szCs w:val="28"/>
        </w:rPr>
        <w:t>фіктивного (стаття 234</w:t>
      </w:r>
      <w:r w:rsidRPr="005605E9">
        <w:rPr>
          <w:rFonts w:ascii="Times New Roman" w:eastAsia="Calibri" w:hAnsi="Times New Roman" w:cs="Times New Roman"/>
          <w:color w:val="0D0D0D"/>
          <w:sz w:val="28"/>
          <w:szCs w:val="28"/>
        </w:rPr>
        <w:t xml:space="preserve"> ЦК України);</w:t>
      </w:r>
    </w:p>
    <w:p w14:paraId="2EC535F9" w14:textId="77777777" w:rsidR="005605E9" w:rsidRPr="005605E9" w:rsidRDefault="005605E9" w:rsidP="005605E9">
      <w:pPr>
        <w:numPr>
          <w:ilvl w:val="0"/>
          <w:numId w:val="7"/>
        </w:numPr>
        <w:tabs>
          <w:tab w:val="left" w:pos="993"/>
        </w:tabs>
        <w:spacing w:after="0" w:line="360" w:lineRule="auto"/>
        <w:ind w:left="0" w:firstLine="709"/>
        <w:contextualSpacing/>
        <w:jc w:val="both"/>
        <w:rPr>
          <w:rFonts w:ascii="Times New Roman" w:eastAsia="Calibri" w:hAnsi="Times New Roman" w:cs="Times New Roman"/>
          <w:color w:val="0D0D0D"/>
          <w:sz w:val="28"/>
          <w:szCs w:val="28"/>
        </w:rPr>
      </w:pPr>
      <w:r w:rsidRPr="005605E9">
        <w:rPr>
          <w:rFonts w:ascii="Times New Roman" w:eastAsia="Calibri" w:hAnsi="Times New Roman" w:cs="Times New Roman"/>
          <w:color w:val="0D0D0D"/>
          <w:sz w:val="28"/>
          <w:szCs w:val="28"/>
        </w:rPr>
        <w:t>такого, що вчинений всупереч принципу добросовісності та недопустимості зловживання правом (статті 3, 13 ЦК України);</w:t>
      </w:r>
    </w:p>
    <w:p w14:paraId="5EB45A36" w14:textId="77777777" w:rsidR="005605E9" w:rsidRPr="005605E9" w:rsidRDefault="005605E9" w:rsidP="005605E9">
      <w:pPr>
        <w:numPr>
          <w:ilvl w:val="0"/>
          <w:numId w:val="7"/>
        </w:numPr>
        <w:tabs>
          <w:tab w:val="left" w:pos="993"/>
        </w:tabs>
        <w:spacing w:after="0" w:line="360" w:lineRule="auto"/>
        <w:ind w:left="0" w:firstLine="709"/>
        <w:contextualSpacing/>
        <w:jc w:val="both"/>
        <w:rPr>
          <w:rFonts w:ascii="Times New Roman" w:eastAsia="Calibri" w:hAnsi="Times New Roman" w:cs="Times New Roman"/>
          <w:color w:val="0D0D0D"/>
          <w:sz w:val="28"/>
          <w:szCs w:val="28"/>
        </w:rPr>
      </w:pPr>
      <w:r w:rsidRPr="005605E9">
        <w:rPr>
          <w:rFonts w:ascii="Times New Roman" w:eastAsia="Calibri" w:hAnsi="Times New Roman" w:cs="Times New Roman"/>
          <w:color w:val="0D0D0D"/>
          <w:sz w:val="28"/>
          <w:szCs w:val="28"/>
        </w:rPr>
        <w:t>такого, що порушує публічний порядок (частини перша та друга статті 228 ЦК України).</w:t>
      </w:r>
    </w:p>
    <w:p w14:paraId="47F5B1C4" w14:textId="77777777" w:rsidR="005605E9" w:rsidRPr="005605E9" w:rsidRDefault="005605E9" w:rsidP="005605E9">
      <w:pPr>
        <w:spacing w:after="0" w:line="360" w:lineRule="auto"/>
        <w:ind w:firstLine="709"/>
        <w:jc w:val="both"/>
        <w:rPr>
          <w:rFonts w:ascii="Times New Roman" w:eastAsia="Calibri" w:hAnsi="Times New Roman" w:cs="Times New Roman"/>
          <w:color w:val="0D0D0D"/>
          <w:sz w:val="28"/>
          <w:szCs w:val="28"/>
        </w:rPr>
      </w:pPr>
      <w:r w:rsidRPr="005605E9">
        <w:rPr>
          <w:rFonts w:ascii="Times New Roman" w:eastAsia="Calibri" w:hAnsi="Times New Roman" w:cs="Times New Roman"/>
          <w:color w:val="0D0D0D"/>
          <w:sz w:val="28"/>
          <w:szCs w:val="28"/>
        </w:rPr>
        <w:t xml:space="preserve">Приватно-правовий інструментарій (зокрема, вчинення </w:t>
      </w:r>
      <w:proofErr w:type="spellStart"/>
      <w:r w:rsidRPr="005605E9">
        <w:rPr>
          <w:rFonts w:ascii="Times New Roman" w:eastAsia="Calibri" w:hAnsi="Times New Roman" w:cs="Times New Roman"/>
          <w:color w:val="0D0D0D"/>
          <w:sz w:val="28"/>
          <w:szCs w:val="28"/>
        </w:rPr>
        <w:t>фраудаторного</w:t>
      </w:r>
      <w:proofErr w:type="spellEnd"/>
      <w:r w:rsidRPr="005605E9">
        <w:rPr>
          <w:rFonts w:ascii="Times New Roman" w:eastAsia="Calibri" w:hAnsi="Times New Roman" w:cs="Times New Roman"/>
          <w:color w:val="0D0D0D"/>
          <w:sz w:val="28"/>
          <w:szCs w:val="28"/>
        </w:rPr>
        <w:t xml:space="preserve"> договору) не повинен використовуватися учасниками цивільного обороту для уникнення чи унеможливлення сплати боргу (коштів, збитків, шкоди) або виконання судового рішення про стягнення боргу (коштів, збитків, шкоди), що набрало законної сили. Договором, що вчиняється на шкоду кредиторам (</w:t>
      </w:r>
      <w:proofErr w:type="spellStart"/>
      <w:r w:rsidRPr="005605E9">
        <w:rPr>
          <w:rFonts w:ascii="Times New Roman" w:eastAsia="Calibri" w:hAnsi="Times New Roman" w:cs="Times New Roman"/>
          <w:color w:val="0D0D0D"/>
          <w:sz w:val="28"/>
          <w:szCs w:val="28"/>
        </w:rPr>
        <w:t>фраудаторним</w:t>
      </w:r>
      <w:proofErr w:type="spellEnd"/>
      <w:r w:rsidRPr="005605E9">
        <w:rPr>
          <w:rFonts w:ascii="Times New Roman" w:eastAsia="Calibri" w:hAnsi="Times New Roman" w:cs="Times New Roman"/>
          <w:color w:val="0D0D0D"/>
          <w:sz w:val="28"/>
          <w:szCs w:val="28"/>
        </w:rPr>
        <w:t xml:space="preserve"> договором), може бути як оплатний, так і безоплатний договір.</w:t>
      </w:r>
    </w:p>
    <w:p w14:paraId="37B1987A" w14:textId="77777777" w:rsidR="005605E9" w:rsidRPr="005605E9" w:rsidRDefault="005605E9" w:rsidP="005605E9">
      <w:pPr>
        <w:spacing w:after="0" w:line="360" w:lineRule="auto"/>
        <w:ind w:firstLine="709"/>
        <w:jc w:val="both"/>
        <w:rPr>
          <w:rFonts w:ascii="Times New Roman" w:eastAsia="Calibri" w:hAnsi="Times New Roman" w:cs="Times New Roman"/>
          <w:color w:val="0D0D0D"/>
          <w:sz w:val="28"/>
          <w:szCs w:val="28"/>
        </w:rPr>
      </w:pPr>
      <w:r w:rsidRPr="005605E9">
        <w:rPr>
          <w:rFonts w:ascii="Times New Roman" w:eastAsia="Calibri" w:hAnsi="Times New Roman" w:cs="Times New Roman"/>
          <w:color w:val="0D0D0D"/>
          <w:sz w:val="28"/>
          <w:szCs w:val="28"/>
        </w:rPr>
        <w:t xml:space="preserve">До обставин, які дозволяють кваліфікувати </w:t>
      </w:r>
      <w:r w:rsidRPr="005605E9">
        <w:rPr>
          <w:rFonts w:ascii="Times New Roman" w:eastAsia="Calibri" w:hAnsi="Times New Roman" w:cs="Times New Roman"/>
          <w:b/>
          <w:color w:val="0D0D0D"/>
          <w:sz w:val="28"/>
          <w:szCs w:val="28"/>
        </w:rPr>
        <w:t>безоплатний договір як такий</w:t>
      </w:r>
      <w:r w:rsidRPr="005605E9">
        <w:rPr>
          <w:rFonts w:ascii="Times New Roman" w:eastAsia="Calibri" w:hAnsi="Times New Roman" w:cs="Times New Roman"/>
          <w:color w:val="0D0D0D"/>
          <w:sz w:val="28"/>
          <w:szCs w:val="28"/>
        </w:rPr>
        <w:t xml:space="preserve">, що вчинений на шкоду кредитору зокрема, відноситься: </w:t>
      </w:r>
      <w:r w:rsidRPr="005605E9">
        <w:rPr>
          <w:rFonts w:ascii="Times New Roman" w:eastAsia="Calibri" w:hAnsi="Times New Roman" w:cs="Times New Roman"/>
          <w:b/>
          <w:color w:val="0D0D0D"/>
          <w:sz w:val="28"/>
          <w:szCs w:val="28"/>
        </w:rPr>
        <w:t>безоплатність договору; момент укладення договору</w:t>
      </w:r>
      <w:r w:rsidRPr="005605E9">
        <w:rPr>
          <w:rFonts w:ascii="Times New Roman" w:eastAsia="Calibri" w:hAnsi="Times New Roman" w:cs="Times New Roman"/>
          <w:color w:val="0D0D0D"/>
          <w:sz w:val="28"/>
          <w:szCs w:val="28"/>
        </w:rPr>
        <w:t xml:space="preserve">; контрагент з яким боржник вчиняє оспорюваний договір (наприклад, родич боржника, колишня </w:t>
      </w:r>
      <w:r w:rsidRPr="005605E9">
        <w:rPr>
          <w:rFonts w:ascii="Times New Roman" w:eastAsia="Calibri" w:hAnsi="Times New Roman" w:cs="Times New Roman"/>
          <w:color w:val="0D0D0D"/>
          <w:sz w:val="28"/>
          <w:szCs w:val="28"/>
        </w:rPr>
        <w:lastRenderedPageBreak/>
        <w:t>дружина боржника, пасинок боржника, пов`язана чи афілійована юридична особа)</w:t>
      </w:r>
      <w:r w:rsidRPr="005605E9">
        <w:rPr>
          <w:rFonts w:ascii="Times New Roman" w:eastAsia="Calibri" w:hAnsi="Times New Roman" w:cs="Times New Roman"/>
          <w:color w:val="0D0D0D"/>
          <w:sz w:val="28"/>
          <w:szCs w:val="28"/>
          <w:vertAlign w:val="superscript"/>
        </w:rPr>
        <w:footnoteReference w:id="16"/>
      </w:r>
      <w:r w:rsidRPr="005605E9">
        <w:rPr>
          <w:rFonts w:ascii="Times New Roman" w:eastAsia="Calibri" w:hAnsi="Times New Roman" w:cs="Times New Roman"/>
          <w:color w:val="0D0D0D"/>
          <w:sz w:val="28"/>
          <w:szCs w:val="28"/>
        </w:rPr>
        <w:t>.</w:t>
      </w:r>
    </w:p>
    <w:p w14:paraId="333345DB" w14:textId="77777777" w:rsidR="005605E9" w:rsidRPr="005605E9" w:rsidRDefault="005605E9" w:rsidP="005605E9">
      <w:pPr>
        <w:autoSpaceDE w:val="0"/>
        <w:autoSpaceDN w:val="0"/>
        <w:adjustRightInd w:val="0"/>
        <w:spacing w:after="0" w:line="360" w:lineRule="auto"/>
        <w:ind w:firstLine="709"/>
        <w:jc w:val="both"/>
        <w:rPr>
          <w:rFonts w:ascii="Times New Roman" w:eastAsia="TimesNewRomanPSMT" w:hAnsi="Times New Roman" w:cs="Times New Roman"/>
          <w:color w:val="0D0D0D"/>
          <w:sz w:val="28"/>
          <w:szCs w:val="28"/>
        </w:rPr>
      </w:pPr>
      <w:r w:rsidRPr="005605E9">
        <w:rPr>
          <w:rFonts w:ascii="Times New Roman" w:eastAsia="TimesNewRomanPSMT" w:hAnsi="Times New Roman" w:cs="Times New Roman"/>
          <w:color w:val="0D0D0D"/>
          <w:sz w:val="28"/>
          <w:szCs w:val="28"/>
        </w:rPr>
        <w:t xml:space="preserve">Переважною у доктрині є думка, що фіктивний та </w:t>
      </w:r>
      <w:proofErr w:type="spellStart"/>
      <w:r w:rsidRPr="005605E9">
        <w:rPr>
          <w:rFonts w:ascii="Times New Roman" w:eastAsia="TimesNewRomanPSMT" w:hAnsi="Times New Roman" w:cs="Times New Roman"/>
          <w:color w:val="0D0D0D"/>
          <w:sz w:val="28"/>
          <w:szCs w:val="28"/>
        </w:rPr>
        <w:t>фраудаторний</w:t>
      </w:r>
      <w:proofErr w:type="spellEnd"/>
      <w:r w:rsidRPr="005605E9">
        <w:rPr>
          <w:rFonts w:ascii="Times New Roman" w:eastAsia="TimesNewRomanPSMT" w:hAnsi="Times New Roman" w:cs="Times New Roman"/>
          <w:color w:val="0D0D0D"/>
          <w:sz w:val="28"/>
          <w:szCs w:val="28"/>
        </w:rPr>
        <w:t xml:space="preserve"> правочини мають спільні ознаки, але є різними за своєю метою та наслідками. Зокрема, фіктивний правочин створюється з метою отримання певної переваги </w:t>
      </w:r>
      <w:r w:rsidRPr="005605E9">
        <w:rPr>
          <w:rFonts w:ascii="Times New Roman" w:eastAsia="TimesNewRomanPSMT" w:hAnsi="Times New Roman" w:cs="Times New Roman"/>
          <w:b/>
          <w:bCs/>
          <w:color w:val="0D0D0D"/>
          <w:sz w:val="28"/>
          <w:szCs w:val="28"/>
        </w:rPr>
        <w:t>або уникнення певних обов’язків,</w:t>
      </w:r>
      <w:r w:rsidRPr="005605E9">
        <w:rPr>
          <w:rFonts w:ascii="Times New Roman" w:eastAsia="TimesNewRomanPSMT" w:hAnsi="Times New Roman" w:cs="Times New Roman"/>
          <w:color w:val="0D0D0D"/>
          <w:sz w:val="28"/>
          <w:szCs w:val="28"/>
        </w:rPr>
        <w:t xml:space="preserve"> тоді як </w:t>
      </w:r>
      <w:proofErr w:type="spellStart"/>
      <w:r w:rsidRPr="005605E9">
        <w:rPr>
          <w:rFonts w:ascii="Times New Roman" w:eastAsia="TimesNewRomanPSMT" w:hAnsi="Times New Roman" w:cs="Times New Roman"/>
          <w:color w:val="0D0D0D"/>
          <w:sz w:val="28"/>
          <w:szCs w:val="28"/>
        </w:rPr>
        <w:t>фраудаторний</w:t>
      </w:r>
      <w:proofErr w:type="spellEnd"/>
      <w:r w:rsidRPr="005605E9">
        <w:rPr>
          <w:rFonts w:ascii="Times New Roman" w:eastAsia="TimesNewRomanPSMT" w:hAnsi="Times New Roman" w:cs="Times New Roman"/>
          <w:color w:val="0D0D0D"/>
          <w:sz w:val="28"/>
          <w:szCs w:val="28"/>
        </w:rPr>
        <w:t xml:space="preserve"> правочин має на меті отримати користь шляхом шахрайства, обману або зловживання довіри. Якщо фіктивний правочин не має жодної юридичної сили та не створює жодних правових наслідків, то </w:t>
      </w:r>
      <w:proofErr w:type="spellStart"/>
      <w:r w:rsidRPr="005605E9">
        <w:rPr>
          <w:rFonts w:ascii="Times New Roman" w:eastAsia="TimesNewRomanPSMT" w:hAnsi="Times New Roman" w:cs="Times New Roman"/>
          <w:color w:val="0D0D0D"/>
          <w:sz w:val="28"/>
          <w:szCs w:val="28"/>
        </w:rPr>
        <w:t>фраудаторний</w:t>
      </w:r>
      <w:proofErr w:type="spellEnd"/>
      <w:r w:rsidRPr="005605E9">
        <w:rPr>
          <w:rFonts w:ascii="Times New Roman" w:eastAsia="TimesNewRomanPSMT" w:hAnsi="Times New Roman" w:cs="Times New Roman"/>
          <w:color w:val="0D0D0D"/>
          <w:sz w:val="28"/>
          <w:szCs w:val="28"/>
        </w:rPr>
        <w:t xml:space="preserve"> правочин може мати серйозні наслідки для тих, хто став його жертвою</w:t>
      </w:r>
      <w:r w:rsidRPr="005605E9">
        <w:rPr>
          <w:rFonts w:ascii="Times New Roman" w:eastAsia="TimesNewRomanPSMT" w:hAnsi="Times New Roman" w:cs="Times New Roman"/>
          <w:color w:val="0D0D0D"/>
          <w:sz w:val="28"/>
          <w:szCs w:val="28"/>
          <w:vertAlign w:val="superscript"/>
        </w:rPr>
        <w:footnoteReference w:id="17"/>
      </w:r>
      <w:r w:rsidRPr="005605E9">
        <w:rPr>
          <w:rFonts w:ascii="Times New Roman" w:eastAsia="TimesNewRomanPSMT" w:hAnsi="Times New Roman" w:cs="Times New Roman"/>
          <w:color w:val="0D0D0D"/>
          <w:sz w:val="28"/>
          <w:szCs w:val="28"/>
        </w:rPr>
        <w:t>.</w:t>
      </w:r>
    </w:p>
    <w:p w14:paraId="510BAB9D" w14:textId="77777777" w:rsidR="005605E9" w:rsidRPr="005605E9" w:rsidRDefault="005605E9" w:rsidP="005605E9">
      <w:pPr>
        <w:widowControl w:val="0"/>
        <w:spacing w:after="0" w:line="360" w:lineRule="auto"/>
        <w:ind w:firstLine="709"/>
        <w:jc w:val="both"/>
        <w:rPr>
          <w:rFonts w:ascii="Times New Roman" w:eastAsia="Times New Roman" w:hAnsi="Times New Roman" w:cs="Times New Roman"/>
          <w:color w:val="0D0D0D"/>
          <w:sz w:val="28"/>
          <w:szCs w:val="28"/>
        </w:rPr>
      </w:pPr>
      <w:proofErr w:type="spellStart"/>
      <w:r w:rsidRPr="005605E9">
        <w:rPr>
          <w:rFonts w:ascii="Times New Roman" w:eastAsia="Times New Roman" w:hAnsi="Times New Roman" w:cs="Times New Roman"/>
          <w:color w:val="0D0D0D"/>
          <w:sz w:val="28"/>
          <w:szCs w:val="28"/>
          <w:lang w:eastAsia="uk-UA" w:bidi="uk-UA"/>
        </w:rPr>
        <w:t>Беляневич</w:t>
      </w:r>
      <w:proofErr w:type="spellEnd"/>
      <w:r w:rsidRPr="005605E9">
        <w:rPr>
          <w:rFonts w:ascii="Times New Roman" w:eastAsia="Times New Roman" w:hAnsi="Times New Roman" w:cs="Times New Roman"/>
          <w:color w:val="0D0D0D"/>
          <w:sz w:val="28"/>
          <w:szCs w:val="28"/>
          <w:lang w:eastAsia="uk-UA" w:bidi="uk-UA"/>
        </w:rPr>
        <w:t xml:space="preserve"> О. А. зауважує, що фіктивні правочини, на відміну від </w:t>
      </w:r>
      <w:proofErr w:type="spellStart"/>
      <w:r w:rsidRPr="005605E9">
        <w:rPr>
          <w:rFonts w:ascii="Times New Roman" w:eastAsia="Times New Roman" w:hAnsi="Times New Roman" w:cs="Times New Roman"/>
          <w:color w:val="0D0D0D"/>
          <w:sz w:val="28"/>
          <w:szCs w:val="28"/>
          <w:lang w:eastAsia="uk-UA" w:bidi="uk-UA"/>
        </w:rPr>
        <w:t>фраудаторних</w:t>
      </w:r>
      <w:proofErr w:type="spellEnd"/>
      <w:r w:rsidRPr="005605E9">
        <w:rPr>
          <w:rFonts w:ascii="Times New Roman" w:eastAsia="Times New Roman" w:hAnsi="Times New Roman" w:cs="Times New Roman"/>
          <w:color w:val="0D0D0D"/>
          <w:sz w:val="28"/>
          <w:szCs w:val="28"/>
          <w:lang w:eastAsia="uk-UA" w:bidi="uk-UA"/>
        </w:rPr>
        <w:t xml:space="preserve"> правочинів, виключають наявність наміру створити юридичні наслідки в момент його вчинення, що в свою чергу унеможливлює виникнення будь-яких майнових наслідків, оскільки такий правочин не породжує жодних юридичних наслідків. Оскільки на підставі фіктивного правочину відсутня можливість передачі майна, </w:t>
      </w:r>
      <w:r w:rsidRPr="005605E9">
        <w:rPr>
          <w:rFonts w:ascii="Times New Roman" w:eastAsia="Times New Roman" w:hAnsi="Times New Roman" w:cs="Times New Roman"/>
          <w:color w:val="0D0D0D"/>
          <w:sz w:val="28"/>
          <w:szCs w:val="28"/>
          <w:lang w:val="en-US" w:bidi="en-US"/>
        </w:rPr>
        <w:t xml:space="preserve">restitutio in integrum </w:t>
      </w:r>
      <w:r w:rsidRPr="005605E9">
        <w:rPr>
          <w:rFonts w:ascii="Times New Roman" w:eastAsia="Times New Roman" w:hAnsi="Times New Roman" w:cs="Times New Roman"/>
          <w:color w:val="0D0D0D"/>
          <w:sz w:val="28"/>
          <w:szCs w:val="28"/>
          <w:lang w:eastAsia="uk-UA" w:bidi="uk-UA"/>
        </w:rPr>
        <w:t xml:space="preserve">виклюється юридичною конструкцією фіктивного правочину. Якщо ж буде встановлено, що така передача </w:t>
      </w:r>
      <w:r w:rsidRPr="005605E9">
        <w:rPr>
          <w:rFonts w:ascii="Times New Roman" w:eastAsia="Times New Roman" w:hAnsi="Times New Roman" w:cs="Times New Roman"/>
          <w:color w:val="0D0D0D"/>
          <w:sz w:val="28"/>
          <w:szCs w:val="28"/>
          <w:lang w:val="en-US" w:bidi="en-US"/>
        </w:rPr>
        <w:t xml:space="preserve">de facto </w:t>
      </w:r>
      <w:r w:rsidRPr="005605E9">
        <w:rPr>
          <w:rFonts w:ascii="Times New Roman" w:eastAsia="Times New Roman" w:hAnsi="Times New Roman" w:cs="Times New Roman"/>
          <w:color w:val="0D0D0D"/>
          <w:sz w:val="28"/>
          <w:szCs w:val="28"/>
          <w:lang w:eastAsia="uk-UA" w:bidi="uk-UA"/>
        </w:rPr>
        <w:t xml:space="preserve">відбулась, такий правочин не може бути кваліфікований як фіктивний, і тому норма ст. </w:t>
      </w:r>
      <w:r w:rsidRPr="005605E9">
        <w:rPr>
          <w:rFonts w:ascii="Times New Roman" w:eastAsia="Times New Roman" w:hAnsi="Times New Roman" w:cs="Times New Roman"/>
          <w:color w:val="0D0D0D"/>
          <w:sz w:val="28"/>
          <w:szCs w:val="28"/>
          <w:lang w:val="en-US" w:bidi="en-US"/>
        </w:rPr>
        <w:t xml:space="preserve">234 </w:t>
      </w:r>
      <w:r w:rsidRPr="005605E9">
        <w:rPr>
          <w:rFonts w:ascii="Times New Roman" w:eastAsia="Times New Roman" w:hAnsi="Times New Roman" w:cs="Times New Roman"/>
          <w:color w:val="0D0D0D"/>
          <w:sz w:val="28"/>
          <w:szCs w:val="28"/>
          <w:lang w:eastAsia="uk-UA" w:bidi="uk-UA"/>
        </w:rPr>
        <w:t xml:space="preserve">ЦК не підлягає застосуванню, адже фіктивний правочин </w:t>
      </w:r>
      <w:r w:rsidRPr="005605E9">
        <w:rPr>
          <w:rFonts w:ascii="Times New Roman" w:eastAsia="Times New Roman" w:hAnsi="Times New Roman" w:cs="Times New Roman"/>
          <w:color w:val="0D0D0D"/>
          <w:sz w:val="28"/>
          <w:szCs w:val="28"/>
          <w:lang w:val="en-US" w:bidi="en-US"/>
        </w:rPr>
        <w:t xml:space="preserve">de jure </w:t>
      </w:r>
      <w:r w:rsidRPr="005605E9">
        <w:rPr>
          <w:rFonts w:ascii="Times New Roman" w:eastAsia="Times New Roman" w:hAnsi="Times New Roman" w:cs="Times New Roman"/>
          <w:color w:val="0D0D0D"/>
          <w:sz w:val="28"/>
          <w:szCs w:val="28"/>
          <w:lang w:eastAsia="uk-UA" w:bidi="uk-UA"/>
        </w:rPr>
        <w:t xml:space="preserve">не породжує будь-яких правових наслідків. Отже, фіктивний правочин характеризується тим, що: </w:t>
      </w:r>
      <w:r w:rsidRPr="005605E9">
        <w:rPr>
          <w:rFonts w:ascii="Times New Roman" w:eastAsia="Times New Roman" w:hAnsi="Times New Roman" w:cs="Times New Roman"/>
          <w:color w:val="0D0D0D"/>
          <w:sz w:val="28"/>
          <w:szCs w:val="28"/>
          <w:lang w:val="en-US" w:bidi="en-US"/>
        </w:rPr>
        <w:t xml:space="preserve">1) </w:t>
      </w:r>
      <w:r w:rsidRPr="005605E9">
        <w:rPr>
          <w:rFonts w:ascii="Times New Roman" w:eastAsia="Times New Roman" w:hAnsi="Times New Roman" w:cs="Times New Roman"/>
          <w:color w:val="0D0D0D"/>
          <w:sz w:val="28"/>
          <w:szCs w:val="28"/>
          <w:lang w:eastAsia="uk-UA" w:bidi="uk-UA"/>
        </w:rPr>
        <w:t xml:space="preserve">сторони не бажають настання правових наслідків, обумовлених договором; </w:t>
      </w:r>
      <w:r w:rsidRPr="005605E9">
        <w:rPr>
          <w:rFonts w:ascii="Times New Roman" w:eastAsia="Times New Roman" w:hAnsi="Times New Roman" w:cs="Times New Roman"/>
          <w:color w:val="0D0D0D"/>
          <w:sz w:val="28"/>
          <w:szCs w:val="28"/>
          <w:lang w:val="en-US" w:bidi="en-US"/>
        </w:rPr>
        <w:t xml:space="preserve">2) </w:t>
      </w:r>
      <w:r w:rsidRPr="005605E9">
        <w:rPr>
          <w:rFonts w:ascii="Times New Roman" w:eastAsia="Times New Roman" w:hAnsi="Times New Roman" w:cs="Times New Roman"/>
          <w:color w:val="0D0D0D"/>
          <w:sz w:val="28"/>
          <w:szCs w:val="28"/>
          <w:lang w:eastAsia="uk-UA" w:bidi="uk-UA"/>
        </w:rPr>
        <w:t xml:space="preserve">усі сторони договору поінформовані про його фіктивність; </w:t>
      </w:r>
      <w:r w:rsidRPr="005605E9">
        <w:rPr>
          <w:rFonts w:ascii="Times New Roman" w:eastAsia="Times New Roman" w:hAnsi="Times New Roman" w:cs="Times New Roman"/>
          <w:color w:val="0D0D0D"/>
          <w:sz w:val="28"/>
          <w:szCs w:val="28"/>
          <w:lang w:val="en-US" w:bidi="en-US"/>
        </w:rPr>
        <w:t xml:space="preserve">3) </w:t>
      </w:r>
      <w:r w:rsidRPr="005605E9">
        <w:rPr>
          <w:rFonts w:ascii="Times New Roman" w:eastAsia="Times New Roman" w:hAnsi="Times New Roman" w:cs="Times New Roman"/>
          <w:color w:val="0D0D0D"/>
          <w:sz w:val="28"/>
          <w:szCs w:val="28"/>
          <w:lang w:eastAsia="uk-UA" w:bidi="uk-UA"/>
        </w:rPr>
        <w:t xml:space="preserve">письмовим текстом договору створюється лише видимість правовідносин між сторонами; </w:t>
      </w:r>
      <w:r w:rsidRPr="005605E9">
        <w:rPr>
          <w:rFonts w:ascii="Times New Roman" w:eastAsia="Times New Roman" w:hAnsi="Times New Roman" w:cs="Times New Roman"/>
          <w:color w:val="0D0D0D"/>
          <w:sz w:val="28"/>
          <w:szCs w:val="28"/>
          <w:lang w:val="en-US" w:bidi="en-US"/>
        </w:rPr>
        <w:t xml:space="preserve">4) </w:t>
      </w:r>
      <w:r w:rsidRPr="005605E9">
        <w:rPr>
          <w:rFonts w:ascii="Times New Roman" w:eastAsia="Times New Roman" w:hAnsi="Times New Roman" w:cs="Times New Roman"/>
          <w:color w:val="0D0D0D"/>
          <w:sz w:val="28"/>
          <w:szCs w:val="28"/>
          <w:lang w:eastAsia="uk-UA" w:bidi="uk-UA"/>
        </w:rPr>
        <w:t>мета вчинення фіктивного правочину не має значення</w:t>
      </w:r>
      <w:r w:rsidRPr="005605E9">
        <w:rPr>
          <w:rFonts w:ascii="Times New Roman" w:eastAsia="Times New Roman" w:hAnsi="Times New Roman" w:cs="Times New Roman"/>
          <w:color w:val="0D0D0D"/>
          <w:sz w:val="28"/>
          <w:szCs w:val="28"/>
          <w:vertAlign w:val="superscript"/>
          <w:lang w:eastAsia="uk-UA" w:bidi="uk-UA"/>
        </w:rPr>
        <w:footnoteReference w:id="18"/>
      </w:r>
      <w:r w:rsidRPr="005605E9">
        <w:rPr>
          <w:rFonts w:ascii="Times New Roman" w:eastAsia="Times New Roman" w:hAnsi="Times New Roman" w:cs="Times New Roman"/>
          <w:color w:val="0D0D0D"/>
          <w:sz w:val="28"/>
          <w:szCs w:val="28"/>
          <w:lang w:val="en-US" w:bidi="en-US"/>
        </w:rPr>
        <w:t>.</w:t>
      </w:r>
    </w:p>
    <w:p w14:paraId="47C383B2" w14:textId="77777777" w:rsidR="005605E9" w:rsidRPr="005605E9" w:rsidRDefault="005605E9" w:rsidP="005605E9">
      <w:pPr>
        <w:widowControl w:val="0"/>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Times New Roman" w:hAnsi="Times New Roman" w:cs="Times New Roman"/>
          <w:color w:val="0D0D0D"/>
          <w:sz w:val="28"/>
          <w:szCs w:val="28"/>
          <w:lang w:eastAsia="uk-UA" w:bidi="uk-UA"/>
        </w:rPr>
        <w:t xml:space="preserve">Окрім того, відповідно до практики ВС, якщо хоча б одна зі сторін </w:t>
      </w:r>
      <w:r w:rsidRPr="005605E9">
        <w:rPr>
          <w:rFonts w:ascii="Times New Roman" w:eastAsia="Times New Roman" w:hAnsi="Times New Roman" w:cs="Times New Roman"/>
          <w:color w:val="0D0D0D"/>
          <w:sz w:val="28"/>
          <w:szCs w:val="28"/>
          <w:lang w:eastAsia="uk-UA" w:bidi="uk-UA"/>
        </w:rPr>
        <w:lastRenderedPageBreak/>
        <w:t>оспорюваного договору намагалася досягти правового результату, то такий правочин не може визнаватися фіктивним. Зокрема, як зазначено у постанові ВС від 03.09.2019 р. у справі № 904/4567/18, ВС у застосуванні приписів ст. 234 ЦК України у подібних правовідносинах виходив, зокрема, з того, що у разі, коли на виконання правочину було передано якесь майно, такий правочин не може розцінюватися як фіктивний.</w:t>
      </w:r>
    </w:p>
    <w:p w14:paraId="32A01F74" w14:textId="77777777" w:rsidR="005605E9" w:rsidRPr="005605E9" w:rsidRDefault="005605E9" w:rsidP="005605E9">
      <w:pPr>
        <w:widowControl w:val="0"/>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Times New Roman" w:hAnsi="Times New Roman" w:cs="Times New Roman"/>
          <w:color w:val="0D0D0D"/>
          <w:sz w:val="28"/>
          <w:szCs w:val="28"/>
          <w:lang w:eastAsia="uk-UA" w:bidi="uk-UA"/>
        </w:rPr>
        <w:t>Судова практика виходить з того, що «фіктивний правочин характеризується тим, що сторони вчиняють такий правочин лише для вигляду, знаючи заздалегідь, що він не буде виконаний. При вчиненні фіктивного правочину сторони мають інші цілі, ніж ті, що передбачені правочином. Причому такі цілі можуть бути протизаконними, або фіктивний правочин може взагалі не мати правової мети. Визнання фіктивного правочину недійсним потребує встановлення господарським судом умислу його сторін. Сам по собі факт невиконання сторонами умов правочину не робить його фіктивним. Для визнання правочину фіктивним ознака вчинення його лише для вигляду має бути властива діям обох сторін правочину. Якщо одна сторона діяла лише для вигляду, а інша – намагалася досягти правового результату, такий правочин не можна визнати фіктивним» (постанова ВС від 19.11.2019 р. у справі № 924/1014/18). Аналогічна правова позиція наведена у постановах ВС від 11.04.2018 у справі № 910/11715/17, від 08.08.2018 у справі № 920/1144/17, від 21.08.2018 у справі № 910/11565/17, від 26.02.2019 у справі № 925/1453/16</w:t>
      </w:r>
      <w:r w:rsidRPr="005605E9">
        <w:rPr>
          <w:rFonts w:ascii="Times New Roman" w:eastAsia="Times New Roman" w:hAnsi="Times New Roman" w:cs="Times New Roman"/>
          <w:color w:val="0D0D0D"/>
          <w:sz w:val="28"/>
          <w:szCs w:val="28"/>
          <w:vertAlign w:val="superscript"/>
          <w:lang w:eastAsia="uk-UA" w:bidi="uk-UA"/>
        </w:rPr>
        <w:footnoteReference w:id="19"/>
      </w:r>
      <w:r w:rsidRPr="005605E9">
        <w:rPr>
          <w:rFonts w:ascii="Times New Roman" w:eastAsia="Times New Roman" w:hAnsi="Times New Roman" w:cs="Times New Roman"/>
          <w:color w:val="0D0D0D"/>
          <w:sz w:val="28"/>
          <w:szCs w:val="28"/>
          <w:lang w:eastAsia="uk-UA" w:bidi="uk-UA"/>
        </w:rPr>
        <w:t>.</w:t>
      </w:r>
    </w:p>
    <w:p w14:paraId="43E36C2C" w14:textId="77777777" w:rsidR="005605E9" w:rsidRPr="005605E9" w:rsidRDefault="005605E9" w:rsidP="005605E9">
      <w:pPr>
        <w:autoSpaceDE w:val="0"/>
        <w:autoSpaceDN w:val="0"/>
        <w:adjustRightInd w:val="0"/>
        <w:spacing w:after="0" w:line="360" w:lineRule="auto"/>
        <w:ind w:firstLine="709"/>
        <w:jc w:val="both"/>
        <w:rPr>
          <w:rFonts w:ascii="Times New Roman" w:eastAsia="TimesNewRomanPSMT" w:hAnsi="Times New Roman" w:cs="Times New Roman"/>
          <w:color w:val="0D0D0D"/>
          <w:sz w:val="28"/>
          <w:szCs w:val="28"/>
        </w:rPr>
      </w:pPr>
      <w:proofErr w:type="spellStart"/>
      <w:r w:rsidRPr="005605E9">
        <w:rPr>
          <w:rFonts w:ascii="Times New Roman" w:eastAsia="Calibri" w:hAnsi="Times New Roman" w:cs="Times New Roman"/>
          <w:color w:val="0D0D0D"/>
          <w:sz w:val="28"/>
          <w:szCs w:val="28"/>
        </w:rPr>
        <w:t>Гофельд</w:t>
      </w:r>
      <w:proofErr w:type="spellEnd"/>
      <w:r w:rsidRPr="005605E9">
        <w:rPr>
          <w:rFonts w:ascii="Times New Roman" w:eastAsia="Calibri" w:hAnsi="Times New Roman" w:cs="Times New Roman"/>
          <w:color w:val="0D0D0D"/>
          <w:sz w:val="28"/>
          <w:szCs w:val="28"/>
        </w:rPr>
        <w:t xml:space="preserve"> Г.С. </w:t>
      </w:r>
      <w:r w:rsidRPr="005605E9">
        <w:rPr>
          <w:rFonts w:ascii="Times New Roman" w:eastAsia="TimesNewRomanPSMT" w:hAnsi="Times New Roman" w:cs="Times New Roman"/>
          <w:color w:val="0D0D0D"/>
          <w:sz w:val="28"/>
          <w:szCs w:val="28"/>
        </w:rPr>
        <w:t xml:space="preserve">зазначає, що </w:t>
      </w:r>
      <w:proofErr w:type="spellStart"/>
      <w:r w:rsidRPr="005605E9">
        <w:rPr>
          <w:rFonts w:ascii="Times New Roman" w:eastAsia="TimesNewRomanPSMT" w:hAnsi="Times New Roman" w:cs="Times New Roman"/>
          <w:color w:val="0D0D0D"/>
          <w:sz w:val="28"/>
          <w:szCs w:val="28"/>
        </w:rPr>
        <w:t>фраудаторний</w:t>
      </w:r>
      <w:proofErr w:type="spellEnd"/>
      <w:r w:rsidRPr="005605E9">
        <w:rPr>
          <w:rFonts w:ascii="Times New Roman" w:eastAsia="TimesNewRomanPSMT" w:hAnsi="Times New Roman" w:cs="Times New Roman"/>
          <w:color w:val="0D0D0D"/>
          <w:sz w:val="28"/>
          <w:szCs w:val="28"/>
        </w:rPr>
        <w:t xml:space="preserve"> правочин є складною за своєю правовою природою конструкцією, що має на меті свідоме бажання настання негативних наслідків для кредитора та отримання власної користі шляхом обману, зловживання довірою чи шахрайства. Основними критеріями відмежування </w:t>
      </w:r>
      <w:proofErr w:type="spellStart"/>
      <w:r w:rsidRPr="005605E9">
        <w:rPr>
          <w:rFonts w:ascii="Times New Roman" w:eastAsia="TimesNewRomanPSMT" w:hAnsi="Times New Roman" w:cs="Times New Roman"/>
          <w:color w:val="0D0D0D"/>
          <w:sz w:val="28"/>
          <w:szCs w:val="28"/>
        </w:rPr>
        <w:t>фраудаторного</w:t>
      </w:r>
      <w:proofErr w:type="spellEnd"/>
      <w:r w:rsidRPr="005605E9">
        <w:rPr>
          <w:rFonts w:ascii="Times New Roman" w:eastAsia="TimesNewRomanPSMT" w:hAnsi="Times New Roman" w:cs="Times New Roman"/>
          <w:color w:val="0D0D0D"/>
          <w:sz w:val="28"/>
          <w:szCs w:val="28"/>
        </w:rPr>
        <w:t xml:space="preserve"> правочину від фіктивного правочину є створення правових наслідків – для фіктивного їх немає, для </w:t>
      </w:r>
      <w:proofErr w:type="spellStart"/>
      <w:r w:rsidRPr="005605E9">
        <w:rPr>
          <w:rFonts w:ascii="Times New Roman" w:eastAsia="TimesNewRomanPSMT" w:hAnsi="Times New Roman" w:cs="Times New Roman"/>
          <w:color w:val="0D0D0D"/>
          <w:sz w:val="28"/>
          <w:szCs w:val="28"/>
        </w:rPr>
        <w:t>фраудаторного</w:t>
      </w:r>
      <w:proofErr w:type="spellEnd"/>
      <w:r w:rsidRPr="005605E9">
        <w:rPr>
          <w:rFonts w:ascii="Times New Roman" w:eastAsia="TimesNewRomanPSMT" w:hAnsi="Times New Roman" w:cs="Times New Roman"/>
          <w:color w:val="0D0D0D"/>
          <w:sz w:val="28"/>
          <w:szCs w:val="28"/>
        </w:rPr>
        <w:t xml:space="preserve"> – </w:t>
      </w:r>
      <w:r w:rsidRPr="005605E9">
        <w:rPr>
          <w:rFonts w:ascii="Times New Roman" w:eastAsia="TimesNewRomanPSMT" w:hAnsi="Times New Roman" w:cs="Times New Roman"/>
          <w:color w:val="0D0D0D"/>
          <w:sz w:val="28"/>
          <w:szCs w:val="28"/>
        </w:rPr>
        <w:lastRenderedPageBreak/>
        <w:t xml:space="preserve">вони є важливими; мета укладання – для фіктивного – уникнення певних зобов’язань, для </w:t>
      </w:r>
      <w:proofErr w:type="spellStart"/>
      <w:r w:rsidRPr="005605E9">
        <w:rPr>
          <w:rFonts w:ascii="Times New Roman" w:eastAsia="TimesNewRomanPSMT" w:hAnsi="Times New Roman" w:cs="Times New Roman"/>
          <w:color w:val="0D0D0D"/>
          <w:sz w:val="28"/>
          <w:szCs w:val="28"/>
        </w:rPr>
        <w:t>фраудаторного</w:t>
      </w:r>
      <w:proofErr w:type="spellEnd"/>
      <w:r w:rsidRPr="005605E9">
        <w:rPr>
          <w:rFonts w:ascii="Times New Roman" w:eastAsia="TimesNewRomanPSMT" w:hAnsi="Times New Roman" w:cs="Times New Roman"/>
          <w:color w:val="0D0D0D"/>
          <w:sz w:val="28"/>
          <w:szCs w:val="28"/>
        </w:rPr>
        <w:t xml:space="preserve"> – отримання користі шляхом обману чи зловживання довірою тощо. Основними критеріями відмежування </w:t>
      </w:r>
      <w:proofErr w:type="spellStart"/>
      <w:r w:rsidRPr="005605E9">
        <w:rPr>
          <w:rFonts w:ascii="Times New Roman" w:eastAsia="TimesNewRomanPSMT" w:hAnsi="Times New Roman" w:cs="Times New Roman"/>
          <w:color w:val="0D0D0D"/>
          <w:sz w:val="28"/>
          <w:szCs w:val="28"/>
        </w:rPr>
        <w:t>фраудаторного</w:t>
      </w:r>
      <w:proofErr w:type="spellEnd"/>
      <w:r w:rsidRPr="005605E9">
        <w:rPr>
          <w:rFonts w:ascii="Times New Roman" w:eastAsia="TimesNewRomanPSMT" w:hAnsi="Times New Roman" w:cs="Times New Roman"/>
          <w:color w:val="0D0D0D"/>
          <w:sz w:val="28"/>
          <w:szCs w:val="28"/>
        </w:rPr>
        <w:t xml:space="preserve"> правочину від удаваного правочину є кінцевий результат для удаваного – немає реального бажання на створення правового наслідку, для </w:t>
      </w:r>
      <w:proofErr w:type="spellStart"/>
      <w:r w:rsidRPr="005605E9">
        <w:rPr>
          <w:rFonts w:ascii="Times New Roman" w:eastAsia="TimesNewRomanPSMT" w:hAnsi="Times New Roman" w:cs="Times New Roman"/>
          <w:color w:val="0D0D0D"/>
          <w:sz w:val="28"/>
          <w:szCs w:val="28"/>
        </w:rPr>
        <w:t>фраудаторного</w:t>
      </w:r>
      <w:proofErr w:type="spellEnd"/>
      <w:r w:rsidRPr="005605E9">
        <w:rPr>
          <w:rFonts w:ascii="Times New Roman" w:eastAsia="TimesNewRomanPSMT" w:hAnsi="Times New Roman" w:cs="Times New Roman"/>
          <w:color w:val="0D0D0D"/>
          <w:sz w:val="28"/>
          <w:szCs w:val="28"/>
        </w:rPr>
        <w:t xml:space="preserve"> – бажання настання певної користі шляхом обману.</w:t>
      </w:r>
    </w:p>
    <w:p w14:paraId="06B9B552" w14:textId="77777777" w:rsidR="005605E9" w:rsidRPr="005605E9" w:rsidRDefault="005605E9" w:rsidP="005605E9">
      <w:pPr>
        <w:autoSpaceDE w:val="0"/>
        <w:autoSpaceDN w:val="0"/>
        <w:adjustRightInd w:val="0"/>
        <w:spacing w:after="0" w:line="360" w:lineRule="auto"/>
        <w:ind w:firstLine="709"/>
        <w:jc w:val="both"/>
        <w:rPr>
          <w:rFonts w:ascii="Times New Roman" w:eastAsia="TimesNewRomanPSMT" w:hAnsi="Times New Roman" w:cs="Times New Roman"/>
          <w:color w:val="0D0D0D"/>
          <w:sz w:val="28"/>
          <w:szCs w:val="28"/>
        </w:rPr>
      </w:pPr>
      <w:r w:rsidRPr="005605E9">
        <w:rPr>
          <w:rFonts w:ascii="Times New Roman" w:eastAsia="TimesNewRomanPSMT" w:hAnsi="Times New Roman" w:cs="Times New Roman"/>
          <w:color w:val="0D0D0D"/>
          <w:sz w:val="28"/>
          <w:szCs w:val="28"/>
        </w:rPr>
        <w:t xml:space="preserve">На відміну від інших дослідників </w:t>
      </w:r>
      <w:proofErr w:type="spellStart"/>
      <w:r w:rsidRPr="005605E9">
        <w:rPr>
          <w:rFonts w:ascii="Times New Roman" w:eastAsia="TimesNewRomanPSMT" w:hAnsi="Times New Roman" w:cs="Times New Roman"/>
          <w:color w:val="0D0D0D"/>
          <w:sz w:val="28"/>
          <w:szCs w:val="28"/>
        </w:rPr>
        <w:t>Гофельд</w:t>
      </w:r>
      <w:proofErr w:type="spellEnd"/>
      <w:r w:rsidRPr="005605E9">
        <w:rPr>
          <w:rFonts w:ascii="Times New Roman" w:eastAsia="TimesNewRomanPSMT" w:hAnsi="Times New Roman" w:cs="Times New Roman"/>
          <w:color w:val="0D0D0D"/>
          <w:sz w:val="28"/>
          <w:szCs w:val="28"/>
        </w:rPr>
        <w:t xml:space="preserve"> Г. С. робить висновок, спільний із висновком Великої Палати, що нами поділяється: </w:t>
      </w:r>
      <w:proofErr w:type="spellStart"/>
      <w:r w:rsidRPr="005605E9">
        <w:rPr>
          <w:rFonts w:ascii="Times New Roman" w:eastAsia="TimesNewRomanPSMT" w:hAnsi="Times New Roman" w:cs="Times New Roman"/>
          <w:color w:val="0D0D0D"/>
          <w:sz w:val="28"/>
          <w:szCs w:val="28"/>
        </w:rPr>
        <w:t>фраудаторний</w:t>
      </w:r>
      <w:proofErr w:type="spellEnd"/>
      <w:r w:rsidRPr="005605E9">
        <w:rPr>
          <w:rFonts w:ascii="Times New Roman" w:eastAsia="TimesNewRomanPSMT" w:hAnsi="Times New Roman" w:cs="Times New Roman"/>
          <w:color w:val="0D0D0D"/>
          <w:sz w:val="28"/>
          <w:szCs w:val="28"/>
        </w:rPr>
        <w:t xml:space="preserve"> правочин є видом фіктивного правочину та за своєю логікою повинен породжувати такі ж самі правові наслідки, що й фіктивний правочин – визнання його недійсним</w:t>
      </w:r>
      <w:r w:rsidRPr="005605E9">
        <w:rPr>
          <w:rFonts w:ascii="Times New Roman" w:eastAsia="TimesNewRomanPSMT" w:hAnsi="Times New Roman" w:cs="Times New Roman"/>
          <w:color w:val="0D0D0D"/>
          <w:sz w:val="28"/>
          <w:szCs w:val="28"/>
          <w:vertAlign w:val="superscript"/>
        </w:rPr>
        <w:footnoteReference w:id="20"/>
      </w:r>
      <w:r w:rsidRPr="005605E9">
        <w:rPr>
          <w:rFonts w:ascii="Times New Roman" w:eastAsia="TimesNewRomanPSMT" w:hAnsi="Times New Roman" w:cs="Times New Roman"/>
          <w:color w:val="0D0D0D"/>
          <w:sz w:val="28"/>
          <w:szCs w:val="28"/>
        </w:rPr>
        <w:t>.</w:t>
      </w:r>
    </w:p>
    <w:p w14:paraId="1D6DBC65" w14:textId="77777777" w:rsidR="005605E9" w:rsidRPr="005605E9" w:rsidRDefault="005605E9" w:rsidP="005605E9">
      <w:pPr>
        <w:autoSpaceDE w:val="0"/>
        <w:autoSpaceDN w:val="0"/>
        <w:adjustRightInd w:val="0"/>
        <w:spacing w:after="0" w:line="360" w:lineRule="auto"/>
        <w:ind w:firstLine="709"/>
        <w:jc w:val="both"/>
        <w:rPr>
          <w:rFonts w:ascii="Times New Roman" w:eastAsia="Calibri" w:hAnsi="Times New Roman" w:cs="Times New Roman"/>
          <w:iCs/>
          <w:color w:val="0D0D0D"/>
          <w:sz w:val="28"/>
          <w:szCs w:val="28"/>
        </w:rPr>
      </w:pPr>
      <w:r w:rsidRPr="005605E9">
        <w:rPr>
          <w:rFonts w:ascii="Times New Roman" w:eastAsia="TimesNewRomanPSMT" w:hAnsi="Times New Roman" w:cs="Times New Roman"/>
          <w:color w:val="0D0D0D"/>
          <w:sz w:val="28"/>
          <w:szCs w:val="28"/>
        </w:rPr>
        <w:t xml:space="preserve">У зв’язку з цим можна виснувати, що договір дарування між Комуністичною партією і Благодійним Фондом «Відродження», укладений 05 серпня 2014 року можна кваліфікувати як </w:t>
      </w:r>
      <w:r w:rsidRPr="005605E9">
        <w:rPr>
          <w:rFonts w:ascii="Times New Roman" w:eastAsia="Calibri" w:hAnsi="Times New Roman" w:cs="Times New Roman"/>
          <w:iCs/>
          <w:color w:val="0D0D0D"/>
          <w:sz w:val="28"/>
          <w:szCs w:val="28"/>
        </w:rPr>
        <w:t xml:space="preserve">фіктивний, незважаючи на те, що майно де-факто передано іншій, пов’язаній особі, оскільки істинні мотиви й мета договору була спрямована на ненастання жодних нових правових наслідків. </w:t>
      </w:r>
    </w:p>
    <w:p w14:paraId="15E12B9C" w14:textId="77777777" w:rsidR="005605E9" w:rsidRPr="005605E9" w:rsidRDefault="005605E9" w:rsidP="005605E9">
      <w:pPr>
        <w:tabs>
          <w:tab w:val="left" w:pos="993"/>
        </w:tabs>
        <w:spacing w:after="0" w:line="360" w:lineRule="auto"/>
        <w:ind w:firstLine="709"/>
        <w:jc w:val="both"/>
        <w:rPr>
          <w:rFonts w:ascii="Times New Roman" w:eastAsia="Calibri" w:hAnsi="Times New Roman" w:cs="Times New Roman"/>
          <w:color w:val="0D0D0D"/>
          <w:sz w:val="28"/>
          <w:szCs w:val="28"/>
        </w:rPr>
      </w:pPr>
    </w:p>
    <w:p w14:paraId="7A52CCFF" w14:textId="77777777" w:rsidR="005605E9" w:rsidRPr="005605E9" w:rsidRDefault="005605E9" w:rsidP="005605E9">
      <w:pPr>
        <w:tabs>
          <w:tab w:val="left" w:pos="993"/>
        </w:tabs>
        <w:spacing w:after="0" w:line="360" w:lineRule="auto"/>
        <w:ind w:firstLine="709"/>
        <w:contextualSpacing/>
        <w:jc w:val="both"/>
        <w:rPr>
          <w:rFonts w:ascii="Times New Roman" w:eastAsia="Calibri" w:hAnsi="Times New Roman" w:cs="Times New Roman"/>
          <w:i/>
          <w:color w:val="0D0D0D"/>
          <w:sz w:val="28"/>
          <w:szCs w:val="28"/>
        </w:rPr>
      </w:pPr>
      <w:r w:rsidRPr="005605E9">
        <w:rPr>
          <w:rFonts w:ascii="Times New Roman" w:eastAsia="Calibri" w:hAnsi="Times New Roman" w:cs="Times New Roman"/>
          <w:i/>
          <w:color w:val="0D0D0D"/>
          <w:sz w:val="28"/>
          <w:szCs w:val="28"/>
        </w:rPr>
        <w:t xml:space="preserve">4. Чи є належним та ефективним способом захисту звернення з позовом про визнання недійсним договору дарування? Чи способом захисту має бути </w:t>
      </w:r>
      <w:proofErr w:type="spellStart"/>
      <w:r w:rsidRPr="005605E9">
        <w:rPr>
          <w:rFonts w:ascii="Times New Roman" w:eastAsia="Calibri" w:hAnsi="Times New Roman" w:cs="Times New Roman"/>
          <w:i/>
          <w:color w:val="0D0D0D"/>
          <w:sz w:val="28"/>
          <w:szCs w:val="28"/>
        </w:rPr>
        <w:t>віндикаційний</w:t>
      </w:r>
      <w:proofErr w:type="spellEnd"/>
      <w:r w:rsidRPr="005605E9">
        <w:rPr>
          <w:rFonts w:ascii="Times New Roman" w:eastAsia="Calibri" w:hAnsi="Times New Roman" w:cs="Times New Roman"/>
          <w:i/>
          <w:color w:val="0D0D0D"/>
          <w:sz w:val="28"/>
          <w:szCs w:val="28"/>
        </w:rPr>
        <w:t xml:space="preserve"> позов?</w:t>
      </w:r>
    </w:p>
    <w:p w14:paraId="558F3DDC" w14:textId="77777777" w:rsidR="005605E9" w:rsidRPr="005605E9" w:rsidRDefault="005605E9" w:rsidP="005605E9">
      <w:pPr>
        <w:tabs>
          <w:tab w:val="left" w:pos="993"/>
        </w:tabs>
        <w:spacing w:after="0" w:line="360" w:lineRule="auto"/>
        <w:jc w:val="both"/>
        <w:rPr>
          <w:rFonts w:ascii="Times New Roman" w:eastAsia="Calibri" w:hAnsi="Times New Roman" w:cs="Times New Roman"/>
          <w:i/>
          <w:color w:val="0D0D0D"/>
          <w:sz w:val="28"/>
          <w:szCs w:val="28"/>
        </w:rPr>
      </w:pPr>
    </w:p>
    <w:p w14:paraId="7344F810" w14:textId="77777777" w:rsidR="005605E9" w:rsidRPr="005605E9" w:rsidRDefault="005605E9" w:rsidP="005605E9">
      <w:pPr>
        <w:shd w:val="clear" w:color="auto" w:fill="FFFFFF"/>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Times New Roman" w:hAnsi="Times New Roman" w:cs="Times New Roman"/>
          <w:color w:val="0D0D0D"/>
          <w:sz w:val="28"/>
          <w:szCs w:val="28"/>
        </w:rPr>
        <w:t xml:space="preserve">В науковій літературі відзначається, що позов про визнання оспорюваного договору недійсним є позовом про перетворення і спрямований не на констатацію недійсності угоди, а на знищення правового ефекту договору, внаслідок чого угода стає недійсною. Рішення суду тут виконує функцію матеріально-правового юридичного факту, з яким закон пов’язує анулювання порочного, але до цього дійсного договору і припиняє </w:t>
      </w:r>
      <w:r w:rsidRPr="005605E9">
        <w:rPr>
          <w:rFonts w:ascii="Times New Roman" w:eastAsia="Times New Roman" w:hAnsi="Times New Roman" w:cs="Times New Roman"/>
          <w:color w:val="0D0D0D"/>
          <w:sz w:val="28"/>
          <w:szCs w:val="28"/>
        </w:rPr>
        <w:lastRenderedPageBreak/>
        <w:t xml:space="preserve">правовідносини, що виникли на його підставі. У зв’язку із цим, цілком логічним виглядає повернення правовідносин у первісний стан, що виступає </w:t>
      </w:r>
      <w:r w:rsidRPr="005605E9">
        <w:rPr>
          <w:rFonts w:ascii="Times New Roman" w:eastAsia="Times New Roman" w:hAnsi="Times New Roman" w:cs="Times New Roman"/>
          <w:i/>
          <w:iCs/>
          <w:color w:val="0D0D0D"/>
          <w:sz w:val="28"/>
          <w:szCs w:val="28"/>
        </w:rPr>
        <w:t>додатковим способом захисту</w:t>
      </w:r>
      <w:r w:rsidRPr="005605E9">
        <w:rPr>
          <w:rFonts w:ascii="Times New Roman" w:eastAsia="Times New Roman" w:hAnsi="Times New Roman" w:cs="Times New Roman"/>
          <w:color w:val="0D0D0D"/>
          <w:sz w:val="28"/>
          <w:szCs w:val="28"/>
        </w:rPr>
        <w:t> </w:t>
      </w:r>
      <w:r w:rsidRPr="005605E9">
        <w:rPr>
          <w:rFonts w:ascii="Times New Roman" w:eastAsia="Times New Roman" w:hAnsi="Times New Roman" w:cs="Times New Roman"/>
          <w:i/>
          <w:iCs/>
          <w:color w:val="0D0D0D"/>
          <w:sz w:val="28"/>
          <w:szCs w:val="28"/>
        </w:rPr>
        <w:t>і вимагається для найбільш повного захисту прав сторін у разі</w:t>
      </w:r>
      <w:r w:rsidRPr="005605E9">
        <w:rPr>
          <w:rFonts w:ascii="Times New Roman" w:eastAsia="Times New Roman" w:hAnsi="Times New Roman" w:cs="Times New Roman"/>
          <w:color w:val="0D0D0D"/>
          <w:sz w:val="28"/>
          <w:szCs w:val="28"/>
        </w:rPr>
        <w:t>, якщо за таким договором стороною (сторонами) вже були вчинені певні дії або передані кошти чи майно і у добровільному порядку сторони відмовляються їх повертати. Визнання правочину (господарського договору) недійсним господарським судом є наслідком його вчинення з порушенням закону, а не заходом відповідальності сторін. Тому для такого визнання, як правило, не має значення, чи усвідомлювали (або повинні були усвідомлювати) сторони протиправність своєї поведінки під час вчинення правочину; винятки з цього правила можливі, якщо вони випливають із закону (п. 2.5.1)</w:t>
      </w:r>
      <w:r w:rsidRPr="005605E9">
        <w:rPr>
          <w:rFonts w:ascii="Times New Roman" w:eastAsia="Arial" w:hAnsi="Times New Roman" w:cs="Times New Roman"/>
          <w:color w:val="0D0D0D"/>
          <w:sz w:val="28"/>
          <w:szCs w:val="28"/>
          <w:vertAlign w:val="superscript"/>
        </w:rPr>
        <w:t xml:space="preserve"> </w:t>
      </w:r>
      <w:r w:rsidRPr="005605E9">
        <w:rPr>
          <w:rFonts w:ascii="Times New Roman" w:eastAsia="Arial" w:hAnsi="Times New Roman" w:cs="Times New Roman"/>
          <w:color w:val="0D0D0D"/>
          <w:sz w:val="28"/>
          <w:szCs w:val="28"/>
          <w:vertAlign w:val="superscript"/>
        </w:rPr>
        <w:footnoteReference w:id="21"/>
      </w:r>
      <w:r w:rsidRPr="005605E9">
        <w:rPr>
          <w:rFonts w:ascii="Times New Roman" w:eastAsia="Times New Roman" w:hAnsi="Times New Roman" w:cs="Times New Roman"/>
          <w:color w:val="0D0D0D"/>
          <w:sz w:val="28"/>
          <w:szCs w:val="28"/>
        </w:rPr>
        <w:t xml:space="preserve">. </w:t>
      </w:r>
    </w:p>
    <w:p w14:paraId="37ED612B" w14:textId="1E9296BE" w:rsidR="005605E9" w:rsidRPr="005605E9" w:rsidRDefault="00F240FA" w:rsidP="005605E9">
      <w:pPr>
        <w:spacing w:after="0"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Важ</w:t>
      </w:r>
      <w:r w:rsidR="003669E1">
        <w:rPr>
          <w:rFonts w:ascii="Times New Roman" w:eastAsia="Times New Roman" w:hAnsi="Times New Roman" w:cs="Times New Roman"/>
          <w:color w:val="0D0D0D"/>
          <w:sz w:val="28"/>
          <w:szCs w:val="28"/>
        </w:rPr>
        <w:t>л</w:t>
      </w:r>
      <w:r>
        <w:rPr>
          <w:rFonts w:ascii="Times New Roman" w:eastAsia="Times New Roman" w:hAnsi="Times New Roman" w:cs="Times New Roman"/>
          <w:color w:val="0D0D0D"/>
          <w:sz w:val="28"/>
          <w:szCs w:val="28"/>
        </w:rPr>
        <w:t>ивою</w:t>
      </w:r>
      <w:r w:rsidR="005605E9" w:rsidRPr="005605E9">
        <w:rPr>
          <w:rFonts w:ascii="Times New Roman" w:eastAsia="Times New Roman" w:hAnsi="Times New Roman" w:cs="Times New Roman"/>
          <w:color w:val="0D0D0D"/>
          <w:sz w:val="28"/>
          <w:szCs w:val="28"/>
        </w:rPr>
        <w:t xml:space="preserve"> для відповіді на це питання є постанова Верховного Суду у складі Касаційного господарського суду від 19 вересня 2023 року у справі № </w:t>
      </w:r>
      <w:bookmarkStart w:id="13" w:name="_Hlk188819579"/>
      <w:r w:rsidR="005605E9" w:rsidRPr="005605E9">
        <w:rPr>
          <w:rFonts w:ascii="Times New Roman" w:eastAsia="Times New Roman" w:hAnsi="Times New Roman" w:cs="Times New Roman"/>
          <w:color w:val="0D0D0D"/>
          <w:sz w:val="28"/>
          <w:szCs w:val="28"/>
        </w:rPr>
        <w:t>910/19668/21</w:t>
      </w:r>
      <w:bookmarkEnd w:id="13"/>
      <w:r w:rsidR="005605E9" w:rsidRPr="005605E9">
        <w:rPr>
          <w:rFonts w:ascii="Times New Roman" w:eastAsia="Times New Roman" w:hAnsi="Times New Roman" w:cs="Times New Roman"/>
          <w:color w:val="0D0D0D"/>
          <w:sz w:val="28"/>
          <w:szCs w:val="28"/>
        </w:rPr>
        <w:t>, якою узагальнено висновки щодо застосування норм права під час розгляду справ про визнання недійсними договорів та обрання при цьому ефективного способу захисту</w:t>
      </w:r>
      <w:r w:rsidR="005605E9" w:rsidRPr="005605E9">
        <w:rPr>
          <w:rFonts w:ascii="Times New Roman" w:eastAsia="Times New Roman" w:hAnsi="Times New Roman" w:cs="Times New Roman"/>
          <w:color w:val="0D0D0D"/>
          <w:sz w:val="28"/>
          <w:szCs w:val="28"/>
          <w:vertAlign w:val="superscript"/>
        </w:rPr>
        <w:footnoteReference w:id="22"/>
      </w:r>
      <w:r w:rsidR="005605E9" w:rsidRPr="005605E9">
        <w:rPr>
          <w:rFonts w:ascii="Times New Roman" w:eastAsia="Times New Roman" w:hAnsi="Times New Roman" w:cs="Times New Roman"/>
          <w:color w:val="0D0D0D"/>
          <w:sz w:val="28"/>
          <w:szCs w:val="28"/>
        </w:rPr>
        <w:t>.</w:t>
      </w:r>
    </w:p>
    <w:p w14:paraId="28B58311"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Times New Roman" w:hAnsi="Times New Roman" w:cs="Times New Roman"/>
          <w:color w:val="0D0D0D"/>
          <w:sz w:val="28"/>
          <w:szCs w:val="28"/>
        </w:rPr>
        <w:t>Гарантоване статтею 55 Конституції України й конкретизоване у законах України право на судовий захист передбачає можливість звернення до суду за захистом порушеного права, але вимагає, щоб твердження позивача про порушення було обґрунтованим. Таке порушення прав має бути реальним, стосуватися індивідуально виражених прав або інтересів особи, яка стверджує про їх порушення.</w:t>
      </w:r>
    </w:p>
    <w:p w14:paraId="5671F1D9"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Times New Roman" w:hAnsi="Times New Roman" w:cs="Times New Roman"/>
          <w:color w:val="0D0D0D"/>
          <w:sz w:val="28"/>
          <w:szCs w:val="28"/>
        </w:rPr>
        <w:t xml:space="preserve">Отже, захисту підлягає наявне законне порушене право (інтерес) особи, яка є суб’єктом (носієм) порушених прав чи інтересів та звернулася за таким захистом до суду. Тому для того, щоб особі було надано судовий захист, суд </w:t>
      </w:r>
      <w:r w:rsidRPr="005605E9">
        <w:rPr>
          <w:rFonts w:ascii="Times New Roman" w:eastAsia="Times New Roman" w:hAnsi="Times New Roman" w:cs="Times New Roman"/>
          <w:color w:val="0D0D0D"/>
          <w:sz w:val="28"/>
          <w:szCs w:val="28"/>
        </w:rPr>
        <w:lastRenderedPageBreak/>
        <w:t>встановлює, чи особа дійсно має порушене право (інтерес), і чи це право (інтерес) порушено відповідачем.</w:t>
      </w:r>
    </w:p>
    <w:p w14:paraId="6C580764"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Times New Roman" w:hAnsi="Times New Roman" w:cs="Times New Roman"/>
          <w:color w:val="0D0D0D"/>
          <w:sz w:val="28"/>
          <w:szCs w:val="28"/>
        </w:rPr>
        <w:t>Положення частини другої статті 16 ЦК України та статті 20 Господарського кодексу України передбачають такий спосіб захисту порушеного права, як визнання недійсним правочину (господарської угоди).</w:t>
      </w:r>
    </w:p>
    <w:p w14:paraId="0820874F"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Times New Roman" w:hAnsi="Times New Roman" w:cs="Times New Roman"/>
          <w:color w:val="0D0D0D"/>
          <w:sz w:val="28"/>
          <w:szCs w:val="28"/>
        </w:rPr>
        <w:t>ЦК України визначає правочин як дію особи, спрямовану на набуття, зміну або припинення цивільних прав та обов`язків; шляхом укладання правочинів суб’єкти цивільних відносин реалізують свої правомочності, суб`єктивні цивільні права за допомогою передачі цих прав іншим учасникам.</w:t>
      </w:r>
    </w:p>
    <w:p w14:paraId="62F39E77"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Times New Roman" w:hAnsi="Times New Roman" w:cs="Times New Roman"/>
          <w:color w:val="0D0D0D"/>
          <w:sz w:val="28"/>
          <w:szCs w:val="28"/>
        </w:rPr>
        <w:t>Статтею 203 ЦК України передбачено, що зміст правочину не може суперечити цьому Кодексу, іншим актам цивільного законодавства, а також моральним засадам суспільства; особа, яка вчиняє правочин, повинна мати необхідний обсяг цивільної дієздатності; волевиявлення учасника правочину має бути вільним і відповідати його внутрішній волі; правочин має бути спрямований на реальне настання правових наслідків, що обумовлені ним.</w:t>
      </w:r>
    </w:p>
    <w:p w14:paraId="371320FC"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Times New Roman" w:hAnsi="Times New Roman" w:cs="Times New Roman"/>
          <w:color w:val="0D0D0D"/>
          <w:sz w:val="28"/>
          <w:szCs w:val="28"/>
        </w:rPr>
        <w:t>Відповідно до частин першої та третьої статті 215 ЦК України підставою недійсності правочину є недодержання в момент вчинення правочину стороною (сторонами) вимог, які встановлені частинами 1-3, 5 та 6 статті 203 цього Кодексу. Якщо недійсність правочину прямо не встановлена законом, але одна із сторін або інша заінтересована особа заперечує його дійсність на підставах, встановлених законом, такий правочин може бути визнаний судом недійсним (оспорюваний правочин).</w:t>
      </w:r>
    </w:p>
    <w:p w14:paraId="73E530A5"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Times New Roman" w:hAnsi="Times New Roman" w:cs="Times New Roman"/>
          <w:color w:val="0D0D0D"/>
          <w:sz w:val="28"/>
          <w:szCs w:val="28"/>
        </w:rPr>
        <w:t>У розумінні наведених положень законодавства оспорювати правочин у суді може одна із сторін правочину або інша заінтересована особа. За відсутності визначення поняття «заінтересована особа» такою особою є кожен, хто має конкретний майновий інтерес в оспорюваному договорі.</w:t>
      </w:r>
    </w:p>
    <w:p w14:paraId="3A88269F"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Times New Roman" w:hAnsi="Times New Roman" w:cs="Times New Roman"/>
          <w:color w:val="0D0D0D"/>
          <w:sz w:val="28"/>
          <w:szCs w:val="28"/>
        </w:rPr>
        <w:t xml:space="preserve">Особа, яка звертається до суду з позовом про визнання недійсним договору (чи його окремих положень), повинна довести конкретні факти порушення її майнових прав та інтересів, а саме: має довести, що її права та </w:t>
      </w:r>
      <w:r w:rsidRPr="005605E9">
        <w:rPr>
          <w:rFonts w:ascii="Times New Roman" w:eastAsia="Times New Roman" w:hAnsi="Times New Roman" w:cs="Times New Roman"/>
          <w:color w:val="0D0D0D"/>
          <w:sz w:val="28"/>
          <w:szCs w:val="28"/>
        </w:rPr>
        <w:lastRenderedPageBreak/>
        <w:t>законні інтереси як заінтересованої особи безпосередньо порушені оспорюваним договором і в результаті визнання його (чи його окремих положень) недійсним майнові права заінтересованої особи буде захищено та відновлено.</w:t>
      </w:r>
    </w:p>
    <w:p w14:paraId="143E8532"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Times New Roman" w:hAnsi="Times New Roman" w:cs="Times New Roman"/>
          <w:color w:val="0D0D0D"/>
          <w:sz w:val="28"/>
          <w:szCs w:val="28"/>
        </w:rPr>
        <w:t>Відсутність порушеного або оспорюваного права позивача є підставою для ухвалення рішення про відмову у задоволенні позову, незалежно від інших встановлених судом обставин.</w:t>
      </w:r>
    </w:p>
    <w:p w14:paraId="3D888410"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Times New Roman" w:hAnsi="Times New Roman" w:cs="Times New Roman"/>
          <w:color w:val="0D0D0D"/>
          <w:sz w:val="28"/>
          <w:szCs w:val="28"/>
        </w:rPr>
        <w:t>Вирішуючи спори про визнання правочинів (господарських договорів) недійсними, господарський суд повинен встановити наявність фактичних обставин, з якими закон пов`язує визнання таких правочинів (господарських договорів) недійсними на момент їх вчинення (укладення) і настання відповідних наслідків, та в разі задоволення позовних вимог зазначати в судовому рішенні, в чому конкретно полягає неправомірність дій сторони та яким нормам законодавства не відповідає оспорюваний правочин.</w:t>
      </w:r>
    </w:p>
    <w:p w14:paraId="393F3CCB"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Times New Roman" w:hAnsi="Times New Roman" w:cs="Times New Roman"/>
          <w:color w:val="0D0D0D"/>
          <w:sz w:val="28"/>
          <w:szCs w:val="28"/>
        </w:rPr>
        <w:t xml:space="preserve">Законодавець встановлює, що наявність підстав для визнання правочину недійсним має визначатися судом </w:t>
      </w:r>
      <w:r w:rsidRPr="005605E9">
        <w:rPr>
          <w:rFonts w:ascii="Times New Roman" w:eastAsia="Times New Roman" w:hAnsi="Times New Roman" w:cs="Times New Roman"/>
          <w:color w:val="0D0D0D"/>
          <w:sz w:val="28"/>
          <w:szCs w:val="28"/>
          <w:u w:val="single"/>
        </w:rPr>
        <w:t>на момент його вчинення</w:t>
      </w:r>
      <w:r w:rsidRPr="005605E9">
        <w:rPr>
          <w:rFonts w:ascii="Times New Roman" w:eastAsia="Times New Roman" w:hAnsi="Times New Roman" w:cs="Times New Roman"/>
          <w:color w:val="0D0D0D"/>
          <w:sz w:val="28"/>
          <w:szCs w:val="28"/>
        </w:rPr>
        <w:t>. Для такого визнання з огляду на приписи статті 5 ЦК України суд має застосувати акт цивільного законодавства, чинний на момент укладення договору (такі висновки сформульовано в постановах Великої Палати Верховного Суду від 27.11.2018 у справі № 905/1227/17 і від 13.07.2022 у справі № 363/1834/17).</w:t>
      </w:r>
    </w:p>
    <w:p w14:paraId="4A0C0F90"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Times New Roman" w:hAnsi="Times New Roman" w:cs="Times New Roman"/>
          <w:color w:val="0D0D0D"/>
          <w:sz w:val="28"/>
          <w:szCs w:val="28"/>
        </w:rPr>
        <w:t xml:space="preserve">Частинами першою та другою статті 216 ЦК України передбачено, що недійсний правочин не створює юридичних наслідків, крім тих, що пов`язані з його недійсністю. У разі недійсності правочину кожна із сторін зобов`язана повернути другій стороні у натурі все, що вона одержала на виконання цього правочину, а в разі неможливості такого повернення, зокрема тоді, коли одержане полягає у користуванні майном, виконаній роботі, наданій послузі, - відшкодувати вартість того, що одержано, за цінами, які існують на момент відшкодування. Якщо у зв`язку із вчиненням недійсного правочину другій </w:t>
      </w:r>
      <w:r w:rsidRPr="005605E9">
        <w:rPr>
          <w:rFonts w:ascii="Times New Roman" w:eastAsia="Times New Roman" w:hAnsi="Times New Roman" w:cs="Times New Roman"/>
          <w:color w:val="0D0D0D"/>
          <w:sz w:val="28"/>
          <w:szCs w:val="28"/>
        </w:rPr>
        <w:lastRenderedPageBreak/>
        <w:t>стороні або третій особі завдано збитків та моральної шкоди, вони підлягають відшкодуванню винною стороною.</w:t>
      </w:r>
    </w:p>
    <w:p w14:paraId="4BBDDCA8"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Times New Roman" w:hAnsi="Times New Roman" w:cs="Times New Roman"/>
          <w:color w:val="0D0D0D"/>
          <w:sz w:val="28"/>
          <w:szCs w:val="28"/>
        </w:rPr>
        <w:t>Двостороння реституція є обов’язковим наслідком визнаного судом недійсним правочину та не може бути проігнорована сторонами. Тобто при недійсності правочину повернення отриманого сторонами за своєю правовою природою становить юридичний обов`язок, що виникає із закону та юридичного факту недійсності правочину (такий висновок викладено в пунктах 64 і 65 постанови судової палати для розгляду справ про банкрутство Касаційного господарського суду у складі Верховного Суду від 23.09.2021 у справі № 904/1907/15).</w:t>
      </w:r>
    </w:p>
    <w:p w14:paraId="4DC6EE99"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Times New Roman" w:hAnsi="Times New Roman" w:cs="Times New Roman"/>
          <w:color w:val="0D0D0D"/>
          <w:sz w:val="28"/>
          <w:szCs w:val="28"/>
        </w:rPr>
        <w:t xml:space="preserve">Відповідно до статей 215 та 216 ЦК України вимога про застосування наслідків недійсності оспорюваного правочину, як і про визнання його недійсним, може бути заявлена однією зі сторін правочину або іншою заінтересованою особою, права та законні інтереси якої порушено вчиненням правочину. Така вимога може бути </w:t>
      </w:r>
      <w:r w:rsidRPr="005605E9">
        <w:rPr>
          <w:rFonts w:ascii="Times New Roman" w:eastAsia="Times New Roman" w:hAnsi="Times New Roman" w:cs="Times New Roman"/>
          <w:i/>
          <w:iCs/>
          <w:color w:val="0D0D0D"/>
          <w:sz w:val="28"/>
          <w:szCs w:val="28"/>
        </w:rPr>
        <w:t>об’єднана з вимогою</w:t>
      </w:r>
      <w:r w:rsidRPr="005605E9">
        <w:rPr>
          <w:rFonts w:ascii="Times New Roman" w:eastAsia="Times New Roman" w:hAnsi="Times New Roman" w:cs="Times New Roman"/>
          <w:color w:val="0D0D0D"/>
          <w:sz w:val="28"/>
          <w:szCs w:val="28"/>
        </w:rPr>
        <w:t xml:space="preserve"> про визнання правочину недійсним, що в цілому сприяє швидкому та ефективному відновленню правового становища сторін, яке існувало до вчинення правочину, або заявлена як </w:t>
      </w:r>
      <w:r w:rsidRPr="005605E9">
        <w:rPr>
          <w:rFonts w:ascii="Times New Roman" w:eastAsia="Times New Roman" w:hAnsi="Times New Roman" w:cs="Times New Roman"/>
          <w:i/>
          <w:iCs/>
          <w:color w:val="0D0D0D"/>
          <w:sz w:val="28"/>
          <w:szCs w:val="28"/>
        </w:rPr>
        <w:t>самостійна вимога</w:t>
      </w:r>
      <w:r w:rsidRPr="005605E9">
        <w:rPr>
          <w:rFonts w:ascii="Times New Roman" w:eastAsia="Times New Roman" w:hAnsi="Times New Roman" w:cs="Times New Roman"/>
          <w:color w:val="0D0D0D"/>
          <w:sz w:val="28"/>
          <w:szCs w:val="28"/>
        </w:rPr>
        <w:t xml:space="preserve"> у вигляді окремого позову.</w:t>
      </w:r>
    </w:p>
    <w:p w14:paraId="63BC4E0E"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Times New Roman" w:hAnsi="Times New Roman" w:cs="Times New Roman"/>
          <w:color w:val="0D0D0D"/>
          <w:sz w:val="28"/>
          <w:szCs w:val="28"/>
        </w:rPr>
        <w:t xml:space="preserve">Застосування будь-якого способу захисту цивільного права та інтересу має бути об’єктивно виправданим та обґрунтованим. Це означає, що: застосування судом способу захисту, обраного позивачем, повинно реально відновлювати його наявне суб`єктивне право, яке порушене, оспорюється або не визнається; обраний спосіб захисту повинен відповідати характеру правопорушення; застосування обраного способу захисту має відповідати цілям судочинства; застосування обраного способу захисту не повинно суперечити принципам верховенства права та процесуальної економії, зокрема не повинно спонукати позивача знову звертатися за захистом до суду (див. постанови Великої Палати Верховного Суду від 19.01.2021 у справі № 916/1415/19 (пункт 6.13), від 26.01.2021 у справі № 522/1528/15-ц (пункт 82), від 08.02.2022 у справі № 209/3085/20 (пункт 24)). </w:t>
      </w:r>
      <w:r w:rsidRPr="005605E9">
        <w:rPr>
          <w:rFonts w:ascii="Times New Roman" w:eastAsia="Times New Roman" w:hAnsi="Times New Roman" w:cs="Times New Roman"/>
          <w:i/>
          <w:iCs/>
          <w:color w:val="0D0D0D"/>
          <w:sz w:val="28"/>
          <w:szCs w:val="28"/>
        </w:rPr>
        <w:t xml:space="preserve">Спосіб захисту права </w:t>
      </w:r>
      <w:r w:rsidRPr="005605E9">
        <w:rPr>
          <w:rFonts w:ascii="Times New Roman" w:eastAsia="Times New Roman" w:hAnsi="Times New Roman" w:cs="Times New Roman"/>
          <w:i/>
          <w:iCs/>
          <w:color w:val="0D0D0D"/>
          <w:sz w:val="28"/>
          <w:szCs w:val="28"/>
        </w:rPr>
        <w:lastRenderedPageBreak/>
        <w:t>є ефективним тоді, коли він забезпечуватиме поновлення порушеного права, а в разі неможливості такого поновлення – гарантуватиме можливість отримати відповідну компенсацію</w:t>
      </w:r>
      <w:r w:rsidRPr="005605E9">
        <w:rPr>
          <w:rFonts w:ascii="Times New Roman" w:eastAsia="Times New Roman" w:hAnsi="Times New Roman" w:cs="Times New Roman"/>
          <w:color w:val="0D0D0D"/>
          <w:sz w:val="28"/>
          <w:szCs w:val="28"/>
        </w:rPr>
        <w:t>. Тобто цей захист має бути повним і забезпечувати у такий спосіб досягнення мети правосуддя та процесуальну економію (див. постанову Великої Палати Верховного Суду від 22.09.2020 у справі № 910/3009/18 (пункт</w:t>
      </w:r>
      <w:r w:rsidRPr="005605E9">
        <w:rPr>
          <w:rFonts w:ascii="Times New Roman" w:eastAsia="Times New Roman" w:hAnsi="Times New Roman" w:cs="Times New Roman"/>
          <w:color w:val="0D0D0D"/>
          <w:sz w:val="28"/>
          <w:szCs w:val="28"/>
          <w:lang w:val="en-US"/>
        </w:rPr>
        <w:t> </w:t>
      </w:r>
      <w:r w:rsidRPr="005605E9">
        <w:rPr>
          <w:rFonts w:ascii="Times New Roman" w:eastAsia="Times New Roman" w:hAnsi="Times New Roman" w:cs="Times New Roman"/>
          <w:color w:val="0D0D0D"/>
          <w:sz w:val="28"/>
          <w:szCs w:val="28"/>
        </w:rPr>
        <w:t>63)).</w:t>
      </w:r>
    </w:p>
    <w:p w14:paraId="4A0B4D32"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Times New Roman" w:hAnsi="Times New Roman" w:cs="Times New Roman"/>
          <w:color w:val="0D0D0D"/>
          <w:sz w:val="28"/>
          <w:szCs w:val="28"/>
        </w:rPr>
        <w:t>Надаючи правову оцінку належності обраного позивачем способу захисту, суди повинні зважати й на його ефективність з погляду Конвенції про захист прав людини і основоположних свобод (далі – Конвенція). У § 145 рішення від 15.11.1996 у справі «</w:t>
      </w:r>
      <w:proofErr w:type="spellStart"/>
      <w:r w:rsidRPr="005605E9">
        <w:rPr>
          <w:rFonts w:ascii="Times New Roman" w:eastAsia="Times New Roman" w:hAnsi="Times New Roman" w:cs="Times New Roman"/>
          <w:color w:val="0D0D0D"/>
          <w:sz w:val="28"/>
          <w:szCs w:val="28"/>
        </w:rPr>
        <w:t>Чахал</w:t>
      </w:r>
      <w:proofErr w:type="spellEnd"/>
      <w:r w:rsidRPr="005605E9">
        <w:rPr>
          <w:rFonts w:ascii="Times New Roman" w:eastAsia="Times New Roman" w:hAnsi="Times New Roman" w:cs="Times New Roman"/>
          <w:color w:val="0D0D0D"/>
          <w:sz w:val="28"/>
          <w:szCs w:val="28"/>
        </w:rPr>
        <w:t xml:space="preserve"> проти Сполученого Королівства» (</w:t>
      </w:r>
      <w:proofErr w:type="spellStart"/>
      <w:r w:rsidRPr="005605E9">
        <w:rPr>
          <w:rFonts w:ascii="Times New Roman" w:eastAsia="Times New Roman" w:hAnsi="Times New Roman" w:cs="Times New Roman"/>
          <w:i/>
          <w:iCs/>
          <w:color w:val="0D0D0D"/>
          <w:sz w:val="28"/>
          <w:szCs w:val="28"/>
        </w:rPr>
        <w:t>Chahal</w:t>
      </w:r>
      <w:proofErr w:type="spellEnd"/>
      <w:r w:rsidRPr="005605E9">
        <w:rPr>
          <w:rFonts w:ascii="Times New Roman" w:eastAsia="Times New Roman" w:hAnsi="Times New Roman" w:cs="Times New Roman"/>
          <w:i/>
          <w:iCs/>
          <w:color w:val="0D0D0D"/>
          <w:sz w:val="28"/>
          <w:szCs w:val="28"/>
        </w:rPr>
        <w:t xml:space="preserve"> v. </w:t>
      </w:r>
      <w:proofErr w:type="spellStart"/>
      <w:r w:rsidRPr="005605E9">
        <w:rPr>
          <w:rFonts w:ascii="Times New Roman" w:eastAsia="Times New Roman" w:hAnsi="Times New Roman" w:cs="Times New Roman"/>
          <w:i/>
          <w:iCs/>
          <w:color w:val="0D0D0D"/>
          <w:sz w:val="28"/>
          <w:szCs w:val="28"/>
        </w:rPr>
        <w:t>the</w:t>
      </w:r>
      <w:proofErr w:type="spellEnd"/>
      <w:r w:rsidRPr="005605E9">
        <w:rPr>
          <w:rFonts w:ascii="Times New Roman" w:eastAsia="Times New Roman" w:hAnsi="Times New Roman" w:cs="Times New Roman"/>
          <w:i/>
          <w:iCs/>
          <w:color w:val="0D0D0D"/>
          <w:sz w:val="28"/>
          <w:szCs w:val="28"/>
        </w:rPr>
        <w:t xml:space="preserve"> </w:t>
      </w:r>
      <w:proofErr w:type="spellStart"/>
      <w:r w:rsidRPr="005605E9">
        <w:rPr>
          <w:rFonts w:ascii="Times New Roman" w:eastAsia="Times New Roman" w:hAnsi="Times New Roman" w:cs="Times New Roman"/>
          <w:i/>
          <w:iCs/>
          <w:color w:val="0D0D0D"/>
          <w:sz w:val="28"/>
          <w:szCs w:val="28"/>
        </w:rPr>
        <w:t>United</w:t>
      </w:r>
      <w:proofErr w:type="spellEnd"/>
      <w:r w:rsidRPr="005605E9">
        <w:rPr>
          <w:rFonts w:ascii="Times New Roman" w:eastAsia="Times New Roman" w:hAnsi="Times New Roman" w:cs="Times New Roman"/>
          <w:i/>
          <w:iCs/>
          <w:color w:val="0D0D0D"/>
          <w:sz w:val="28"/>
          <w:szCs w:val="28"/>
        </w:rPr>
        <w:t xml:space="preserve"> </w:t>
      </w:r>
      <w:proofErr w:type="spellStart"/>
      <w:r w:rsidRPr="005605E9">
        <w:rPr>
          <w:rFonts w:ascii="Times New Roman" w:eastAsia="Times New Roman" w:hAnsi="Times New Roman" w:cs="Times New Roman"/>
          <w:i/>
          <w:iCs/>
          <w:color w:val="0D0D0D"/>
          <w:sz w:val="28"/>
          <w:szCs w:val="28"/>
        </w:rPr>
        <w:t>Kingdom</w:t>
      </w:r>
      <w:proofErr w:type="spellEnd"/>
      <w:r w:rsidRPr="005605E9">
        <w:rPr>
          <w:rFonts w:ascii="Times New Roman" w:eastAsia="Times New Roman" w:hAnsi="Times New Roman" w:cs="Times New Roman"/>
          <w:color w:val="0D0D0D"/>
          <w:sz w:val="28"/>
          <w:szCs w:val="28"/>
        </w:rPr>
        <w:t>, заява № 22414/93, [1996] ECHR 54) Європейський суд з прав людини (далі - ЄСПЛ, Суд) зазначив, що стаття 13 Конвенції гарантує на національному рівні ефективні правові способи для здійснення прав і свобод, що передбачаються Конвенцією, незалежно від того, яким чином вони виражені в правовій системі тієї чи іншої країни. Таким чином, суть цієї статті зводиться до вимоги надати особі такі способи правового захисту на національному рівні, що дозволили б компетентному державному органові розглядати по суті скарги на порушення положень Конвенції й надавати відповідний судовий захист, хоча держави-учасниці Конвенції мають деяку свободу розсуду щодо того, яким чином вони забезпечують при цьому виконання своїх зобов`язань.</w:t>
      </w:r>
    </w:p>
    <w:p w14:paraId="2E9D5666"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Times New Roman" w:hAnsi="Times New Roman" w:cs="Times New Roman"/>
          <w:color w:val="0D0D0D"/>
          <w:sz w:val="28"/>
          <w:szCs w:val="28"/>
        </w:rPr>
        <w:t xml:space="preserve">У статті 13 Конвенції гарантується доступність на національному рівні засобу захисту, здатного втілити в життя сутність прав та свобод за Конвенцією, в якому б вигляді вони не забезпечувались у національній правовій системі. Зміст зобов`язань за статтею 13 Конвенції залежить, зокрема, від характеру скарг заявника. </w:t>
      </w:r>
      <w:r w:rsidRPr="005605E9">
        <w:rPr>
          <w:rFonts w:ascii="Times New Roman" w:eastAsia="Times New Roman" w:hAnsi="Times New Roman" w:cs="Times New Roman"/>
          <w:i/>
          <w:iCs/>
          <w:color w:val="0D0D0D"/>
          <w:sz w:val="28"/>
          <w:szCs w:val="28"/>
        </w:rPr>
        <w:t>Однак засіб захисту, що вимагається статтею 3, має бути ефективним як у законі, так і на практиці, зокрема у тому сенсі, щоб його використання не було ускладнене діями або недоглядом органів влади відповідної держави</w:t>
      </w:r>
      <w:r w:rsidRPr="005605E9">
        <w:rPr>
          <w:rFonts w:ascii="Times New Roman" w:eastAsia="Times New Roman" w:hAnsi="Times New Roman" w:cs="Times New Roman"/>
          <w:color w:val="0D0D0D"/>
          <w:sz w:val="28"/>
          <w:szCs w:val="28"/>
        </w:rPr>
        <w:t xml:space="preserve"> (§ 75 рішення ЄСПЛ від 05.05.2005 у справі «Афанасьєв проти України» (заява № 38722/02)).</w:t>
      </w:r>
    </w:p>
    <w:p w14:paraId="65085BB9"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Times New Roman" w:hAnsi="Times New Roman" w:cs="Times New Roman"/>
          <w:color w:val="0D0D0D"/>
          <w:sz w:val="28"/>
          <w:szCs w:val="28"/>
        </w:rPr>
        <w:lastRenderedPageBreak/>
        <w:t xml:space="preserve">Велика Палата Верховного Суду у своїх постановах неодноразово зазначала, що перелік способів захисту, визначений у частині 2 статті 16 ЦК України, не є вичерпним. Суд може захистити цивільне право або інтерес іншим способом, що встановлений договором або законом чи судом у визначених законом випадках (абзац 12 частини 2 вказаної статті). </w:t>
      </w:r>
      <w:r w:rsidRPr="005605E9">
        <w:rPr>
          <w:rFonts w:ascii="Times New Roman" w:eastAsia="Times New Roman" w:hAnsi="Times New Roman" w:cs="Times New Roman"/>
          <w:b/>
          <w:bCs/>
          <w:color w:val="0D0D0D"/>
          <w:sz w:val="28"/>
          <w:szCs w:val="28"/>
        </w:rPr>
        <w:t xml:space="preserve">Застосування конкретного способу захисту цивільного права залежить як від змісту права чи інтересу, за захистом якого звернулася особа, так і від характеру його порушення, невизнання або </w:t>
      </w:r>
      <w:proofErr w:type="spellStart"/>
      <w:r w:rsidRPr="005605E9">
        <w:rPr>
          <w:rFonts w:ascii="Times New Roman" w:eastAsia="Times New Roman" w:hAnsi="Times New Roman" w:cs="Times New Roman"/>
          <w:b/>
          <w:bCs/>
          <w:color w:val="0D0D0D"/>
          <w:sz w:val="28"/>
          <w:szCs w:val="28"/>
        </w:rPr>
        <w:t>оспорення</w:t>
      </w:r>
      <w:proofErr w:type="spellEnd"/>
      <w:r w:rsidRPr="005605E9">
        <w:rPr>
          <w:rFonts w:ascii="Times New Roman" w:eastAsia="Times New Roman" w:hAnsi="Times New Roman" w:cs="Times New Roman"/>
          <w:b/>
          <w:bCs/>
          <w:color w:val="0D0D0D"/>
          <w:sz w:val="28"/>
          <w:szCs w:val="28"/>
        </w:rPr>
        <w:t xml:space="preserve">. </w:t>
      </w:r>
      <w:r w:rsidRPr="005605E9">
        <w:rPr>
          <w:rFonts w:ascii="Times New Roman" w:eastAsia="Times New Roman" w:hAnsi="Times New Roman" w:cs="Times New Roman"/>
          <w:color w:val="0D0D0D"/>
          <w:sz w:val="28"/>
          <w:szCs w:val="28"/>
        </w:rPr>
        <w:t xml:space="preserve">Такі право чи інтерес мають бути захищені судом у спосіб, який є ефективним, тобто таким, що відповідає змісту відповідного права чи інтересу, характеру його порушення, невизнання або </w:t>
      </w:r>
      <w:proofErr w:type="spellStart"/>
      <w:r w:rsidRPr="005605E9">
        <w:rPr>
          <w:rFonts w:ascii="Times New Roman" w:eastAsia="Times New Roman" w:hAnsi="Times New Roman" w:cs="Times New Roman"/>
          <w:color w:val="0D0D0D"/>
          <w:sz w:val="28"/>
          <w:szCs w:val="28"/>
        </w:rPr>
        <w:t>оспорення</w:t>
      </w:r>
      <w:proofErr w:type="spellEnd"/>
      <w:r w:rsidRPr="005605E9">
        <w:rPr>
          <w:rFonts w:ascii="Times New Roman" w:eastAsia="Times New Roman" w:hAnsi="Times New Roman" w:cs="Times New Roman"/>
          <w:color w:val="0D0D0D"/>
          <w:sz w:val="28"/>
          <w:szCs w:val="28"/>
        </w:rPr>
        <w:t xml:space="preserve"> та спричиненим цими діяннями наслідкам (див., зокрема, постанови від 05.06.2018 у справі № 338/180/17 (пункт 57), від 11.09.2018 у справі № 905/1926/16 (пункт 40), від 30.01.2019 у справі № 569/17272/15-ц, від 11.09.2019 у справі № 487/10132/14-ц (пункт 89), від 16.06.2020 у справі № 145/2047/16-ц (пункт 7.23), від 15.09.2020 у справі № 469/1044/17).</w:t>
      </w:r>
    </w:p>
    <w:p w14:paraId="0CB3ABCA"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Times New Roman" w:hAnsi="Times New Roman" w:cs="Times New Roman"/>
          <w:color w:val="0D0D0D"/>
          <w:sz w:val="28"/>
          <w:szCs w:val="28"/>
        </w:rPr>
        <w:t>… Водночас об’єднана палата Верховного Суду у складі Касаційного господарського суду у своїй постанові від 26.05.2023 у справі № 905/77/21 сформувала висновок про те, що:</w:t>
      </w:r>
    </w:p>
    <w:p w14:paraId="63D22738"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rPr>
      </w:pPr>
      <w:r w:rsidRPr="005605E9">
        <w:rPr>
          <w:rFonts w:ascii="Times New Roman" w:eastAsia="Times New Roman" w:hAnsi="Times New Roman" w:cs="Times New Roman"/>
          <w:b/>
          <w:bCs/>
          <w:i/>
          <w:iCs/>
          <w:color w:val="0D0D0D"/>
          <w:sz w:val="28"/>
          <w:szCs w:val="28"/>
        </w:rPr>
        <w:t>«Позовна вимога про визнання недійсним договору є належним способом захисту, який передбачено законом</w:t>
      </w:r>
      <w:r w:rsidRPr="005605E9">
        <w:rPr>
          <w:rFonts w:ascii="Times New Roman" w:eastAsia="Times New Roman" w:hAnsi="Times New Roman" w:cs="Times New Roman"/>
          <w:i/>
          <w:iCs/>
          <w:color w:val="0D0D0D"/>
          <w:sz w:val="28"/>
          <w:szCs w:val="28"/>
        </w:rPr>
        <w:t>»</w:t>
      </w:r>
      <w:r w:rsidRPr="005605E9">
        <w:rPr>
          <w:rFonts w:ascii="Times New Roman" w:eastAsia="Times New Roman" w:hAnsi="Times New Roman" w:cs="Times New Roman"/>
          <w:color w:val="0D0D0D"/>
          <w:sz w:val="28"/>
          <w:szCs w:val="28"/>
          <w:vertAlign w:val="superscript"/>
        </w:rPr>
        <w:t xml:space="preserve"> </w:t>
      </w:r>
      <w:r w:rsidRPr="005605E9">
        <w:rPr>
          <w:rFonts w:ascii="Times New Roman" w:eastAsia="Times New Roman" w:hAnsi="Times New Roman" w:cs="Times New Roman"/>
          <w:color w:val="0D0D0D"/>
          <w:sz w:val="28"/>
          <w:szCs w:val="28"/>
          <w:vertAlign w:val="superscript"/>
        </w:rPr>
        <w:footnoteReference w:id="23"/>
      </w:r>
      <w:r w:rsidRPr="005605E9">
        <w:rPr>
          <w:rFonts w:ascii="Times New Roman" w:eastAsia="Times New Roman" w:hAnsi="Times New Roman" w:cs="Times New Roman"/>
          <w:color w:val="0D0D0D"/>
          <w:sz w:val="28"/>
          <w:szCs w:val="28"/>
        </w:rPr>
        <w:t>.</w:t>
      </w:r>
    </w:p>
    <w:p w14:paraId="10376A16" w14:textId="77777777" w:rsidR="005605E9" w:rsidRPr="005605E9" w:rsidRDefault="005605E9" w:rsidP="005605E9">
      <w:pPr>
        <w:tabs>
          <w:tab w:val="left" w:pos="993"/>
        </w:tabs>
        <w:spacing w:after="0" w:line="360" w:lineRule="auto"/>
        <w:ind w:firstLine="709"/>
        <w:contextualSpacing/>
        <w:jc w:val="both"/>
        <w:rPr>
          <w:rFonts w:ascii="Times New Roman" w:eastAsia="Calibri" w:hAnsi="Times New Roman" w:cs="Times New Roman"/>
          <w:iCs/>
          <w:color w:val="0D0D0D"/>
          <w:sz w:val="28"/>
          <w:szCs w:val="28"/>
        </w:rPr>
      </w:pPr>
      <w:r w:rsidRPr="005605E9">
        <w:rPr>
          <w:rFonts w:ascii="Times New Roman" w:eastAsia="Calibri" w:hAnsi="Times New Roman" w:cs="Times New Roman"/>
          <w:iCs/>
          <w:color w:val="0D0D0D"/>
          <w:sz w:val="28"/>
          <w:szCs w:val="28"/>
        </w:rPr>
        <w:t>Отже, звернення з позовом про визнання недійсним договору дарування є належним та ефективним способом захисту.</w:t>
      </w:r>
    </w:p>
    <w:p w14:paraId="38ED8032" w14:textId="77777777" w:rsidR="005605E9" w:rsidRPr="005605E9" w:rsidRDefault="005605E9" w:rsidP="005605E9">
      <w:pPr>
        <w:tabs>
          <w:tab w:val="left" w:pos="993"/>
        </w:tabs>
        <w:spacing w:after="0" w:line="360" w:lineRule="auto"/>
        <w:ind w:left="709"/>
        <w:contextualSpacing/>
        <w:jc w:val="both"/>
        <w:rPr>
          <w:rFonts w:ascii="Times New Roman" w:eastAsia="Calibri" w:hAnsi="Times New Roman" w:cs="Times New Roman"/>
          <w:i/>
          <w:color w:val="0D0D0D"/>
          <w:sz w:val="28"/>
          <w:szCs w:val="28"/>
        </w:rPr>
      </w:pPr>
    </w:p>
    <w:p w14:paraId="0A5BCC78" w14:textId="77777777" w:rsidR="005605E9" w:rsidRPr="005605E9" w:rsidRDefault="005605E9" w:rsidP="005605E9">
      <w:pPr>
        <w:tabs>
          <w:tab w:val="left" w:pos="993"/>
        </w:tabs>
        <w:spacing w:after="0" w:line="360" w:lineRule="auto"/>
        <w:ind w:firstLine="709"/>
        <w:jc w:val="both"/>
        <w:rPr>
          <w:rFonts w:ascii="Times New Roman" w:eastAsia="Calibri" w:hAnsi="Times New Roman" w:cs="Times New Roman"/>
          <w:i/>
          <w:color w:val="0D0D0D"/>
          <w:sz w:val="28"/>
          <w:szCs w:val="28"/>
        </w:rPr>
      </w:pPr>
      <w:r w:rsidRPr="005605E9">
        <w:rPr>
          <w:rFonts w:ascii="Times New Roman" w:eastAsia="Calibri" w:hAnsi="Times New Roman" w:cs="Times New Roman"/>
          <w:i/>
          <w:color w:val="0D0D0D"/>
          <w:sz w:val="28"/>
          <w:szCs w:val="28"/>
        </w:rPr>
        <w:t>5. Чи можна розцінювати вимогу про скасування державної  реєстрації прав на спірне нерухоме майно, заявлену разом з вимогою про визнання договору недійсним, як вимогу про застосування реституції?</w:t>
      </w:r>
    </w:p>
    <w:p w14:paraId="7EBFC3F3" w14:textId="77777777" w:rsidR="005605E9" w:rsidRPr="005605E9" w:rsidRDefault="005605E9" w:rsidP="005605E9">
      <w:pPr>
        <w:spacing w:after="0" w:line="360" w:lineRule="auto"/>
        <w:ind w:firstLine="709"/>
        <w:jc w:val="both"/>
        <w:outlineLvl w:val="0"/>
        <w:rPr>
          <w:rFonts w:ascii="Times New Roman" w:eastAsia="Times New Roman" w:hAnsi="Times New Roman" w:cs="Times New Roman"/>
          <w:color w:val="0D0D0D"/>
          <w:kern w:val="36"/>
          <w:sz w:val="28"/>
          <w:szCs w:val="28"/>
          <w:lang w:eastAsia="uk-UA"/>
        </w:rPr>
      </w:pPr>
    </w:p>
    <w:p w14:paraId="1DCD2F80" w14:textId="77777777" w:rsidR="005605E9" w:rsidRPr="005605E9" w:rsidRDefault="005605E9" w:rsidP="005605E9">
      <w:pPr>
        <w:spacing w:after="0" w:line="360" w:lineRule="auto"/>
        <w:ind w:firstLine="709"/>
        <w:jc w:val="both"/>
        <w:outlineLvl w:val="0"/>
        <w:rPr>
          <w:rFonts w:ascii="Times New Roman" w:eastAsia="Times New Roman" w:hAnsi="Times New Roman" w:cs="Times New Roman"/>
          <w:color w:val="0D0D0D"/>
          <w:kern w:val="36"/>
          <w:sz w:val="28"/>
          <w:szCs w:val="28"/>
          <w:lang w:eastAsia="uk-UA"/>
        </w:rPr>
      </w:pPr>
      <w:r w:rsidRPr="005605E9">
        <w:rPr>
          <w:rFonts w:ascii="Times New Roman" w:eastAsia="Times New Roman" w:hAnsi="Times New Roman" w:cs="Times New Roman"/>
          <w:color w:val="0D0D0D"/>
          <w:kern w:val="36"/>
          <w:sz w:val="28"/>
          <w:szCs w:val="28"/>
          <w:lang w:eastAsia="uk-UA"/>
        </w:rPr>
        <w:lastRenderedPageBreak/>
        <w:t>Оспорювати на підставі ч. 3 ст. 228 ЦК України правочин у суді може тільки суб’єкт, наділений у спірних правовідносинах владними повноваженнями, а застосування судом двосторонньої реституції є необхідним наслідком визнання недійсним правочину.</w:t>
      </w:r>
    </w:p>
    <w:p w14:paraId="63A3FC77"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lang w:eastAsia="uk-UA"/>
        </w:rPr>
      </w:pPr>
      <w:r w:rsidRPr="005605E9">
        <w:rPr>
          <w:rFonts w:ascii="Times New Roman" w:eastAsia="Times New Roman" w:hAnsi="Times New Roman" w:cs="Times New Roman"/>
          <w:color w:val="0D0D0D"/>
          <w:sz w:val="28"/>
          <w:szCs w:val="28"/>
          <w:lang w:eastAsia="uk-UA"/>
        </w:rPr>
        <w:t>У разі визнання правочину недійсним, задовольняючи вимогу сторони про повернення переданого за недійсним правочином майна, суд має також присудити стягнути з позивача на користь відповідача одержані за правочином кошти (повернути передане майно). Таке стягнення не є задоволенням окремої позовної вимоги, а є необхідним наслідком визнання недійсним правочину та задоволення вимоги про застосування реституції</w:t>
      </w:r>
      <w:r w:rsidRPr="005605E9">
        <w:rPr>
          <w:rFonts w:ascii="Times New Roman" w:eastAsia="Times New Roman" w:hAnsi="Times New Roman" w:cs="Times New Roman"/>
          <w:color w:val="0D0D0D"/>
          <w:kern w:val="36"/>
          <w:sz w:val="28"/>
          <w:szCs w:val="28"/>
          <w:lang w:eastAsia="uk-UA"/>
        </w:rPr>
        <w:t xml:space="preserve"> </w:t>
      </w:r>
      <w:r w:rsidRPr="005605E9">
        <w:rPr>
          <w:rFonts w:ascii="Times New Roman" w:eastAsia="Times New Roman" w:hAnsi="Times New Roman" w:cs="Times New Roman"/>
          <w:color w:val="0D0D0D"/>
          <w:sz w:val="28"/>
          <w:szCs w:val="28"/>
          <w:vertAlign w:val="superscript"/>
          <w:lang w:eastAsia="uk-UA"/>
        </w:rPr>
        <w:footnoteReference w:id="24"/>
      </w:r>
      <w:r w:rsidRPr="005605E9">
        <w:rPr>
          <w:rFonts w:ascii="Times New Roman" w:eastAsia="Times New Roman" w:hAnsi="Times New Roman" w:cs="Times New Roman"/>
          <w:color w:val="0D0D0D"/>
          <w:sz w:val="28"/>
          <w:szCs w:val="28"/>
          <w:lang w:eastAsia="uk-UA"/>
        </w:rPr>
        <w:t>.</w:t>
      </w:r>
    </w:p>
    <w:p w14:paraId="25195F90"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lang w:eastAsia="uk-UA"/>
        </w:rPr>
      </w:pPr>
      <w:r w:rsidRPr="005605E9">
        <w:rPr>
          <w:rFonts w:ascii="Times New Roman" w:eastAsia="Times New Roman" w:hAnsi="Times New Roman" w:cs="Times New Roman"/>
          <w:color w:val="0D0D0D"/>
          <w:sz w:val="28"/>
          <w:szCs w:val="28"/>
          <w:lang w:eastAsia="uk-UA"/>
        </w:rPr>
        <w:t>Визначати, в чому полягає чи може полягати порушення інтересів держави, та оспорювати на підставі ч. 3 ст. 228 ЦК України правочин у суді може тільки суб’єкт, наділений у спірних правовідносинах владними повноваженнями (незалежно від наявності статусу юридичної особи), або прокурор, який у встановленому порядку, виконуючи субсидіарну роль, може представляти державу в судовому провадженні замість відповідного компетентного суб’єкта, який усупереч вимогам закону не здійснює захист інтересів держави або робить це неналежно.</w:t>
      </w:r>
    </w:p>
    <w:p w14:paraId="5973D43A"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lang w:eastAsia="uk-UA"/>
        </w:rPr>
      </w:pPr>
      <w:r w:rsidRPr="005605E9">
        <w:rPr>
          <w:rFonts w:ascii="Times New Roman" w:eastAsia="Times New Roman" w:hAnsi="Times New Roman" w:cs="Times New Roman"/>
          <w:color w:val="0D0D0D"/>
          <w:sz w:val="28"/>
          <w:szCs w:val="28"/>
          <w:lang w:eastAsia="uk-UA"/>
        </w:rPr>
        <w:t xml:space="preserve">За недійсності правочину взаємне повернення сторонами одержаного за ним (двостороння реституція) є юридичним обов’язком, що виникає із закону та юридичного факту недійсності правочину. У такій категорії справ суд, задовольняючи вимогу сторони про повернення переданого за недійсним правочином майна, має також присудити стягнути з позивача на користь відповідача одержані за правочином кошти (повернути передане нею майно). Таке стягнення не є задоволенням окремої позовної вимоги, а є необхідним наслідком визнання недійсним правочину та задоволення вимоги про застосування реституції. Отже, буквальне тлумачення змісту ст. 216 ЦК України дає підстави для висновку про те, що якщо законом не встановлені </w:t>
      </w:r>
      <w:r w:rsidRPr="005605E9">
        <w:rPr>
          <w:rFonts w:ascii="Times New Roman" w:eastAsia="Times New Roman" w:hAnsi="Times New Roman" w:cs="Times New Roman"/>
          <w:color w:val="0D0D0D"/>
          <w:sz w:val="28"/>
          <w:szCs w:val="28"/>
          <w:lang w:eastAsia="uk-UA"/>
        </w:rPr>
        <w:lastRenderedPageBreak/>
        <w:t xml:space="preserve">особливі умови застосування правових наслідків недійсності правочину або особливі правові наслідки окремих видів недійсних правочинів, то позивач, який заявляє вимогу про повернення йому в натурі переданого за недійсним правочином або відшкодування вартості переданого, заявляє реституційну вимогу, яку суд за наявності для того підстав задовольняє, застосовуючи двосторонню реституцію. У цьому випадку відповідач є </w:t>
      </w:r>
      <w:proofErr w:type="spellStart"/>
      <w:r w:rsidRPr="005605E9">
        <w:rPr>
          <w:rFonts w:ascii="Times New Roman" w:eastAsia="Times New Roman" w:hAnsi="Times New Roman" w:cs="Times New Roman"/>
          <w:color w:val="0D0D0D"/>
          <w:sz w:val="28"/>
          <w:szCs w:val="28"/>
          <w:lang w:eastAsia="uk-UA"/>
        </w:rPr>
        <w:t>стягувачем</w:t>
      </w:r>
      <w:proofErr w:type="spellEnd"/>
      <w:r w:rsidRPr="005605E9">
        <w:rPr>
          <w:rFonts w:ascii="Times New Roman" w:eastAsia="Times New Roman" w:hAnsi="Times New Roman" w:cs="Times New Roman"/>
          <w:color w:val="0D0D0D"/>
          <w:sz w:val="28"/>
          <w:szCs w:val="28"/>
          <w:lang w:eastAsia="uk-UA"/>
        </w:rPr>
        <w:t xml:space="preserve"> у частині рішення про повернення йому переданого ним за недійсним правочином майна або відшкодування вартості. </w:t>
      </w:r>
    </w:p>
    <w:p w14:paraId="4BA1A8C2" w14:textId="77777777" w:rsidR="005605E9" w:rsidRPr="005605E9" w:rsidRDefault="005605E9" w:rsidP="005605E9">
      <w:pPr>
        <w:spacing w:after="0" w:line="360" w:lineRule="auto"/>
        <w:ind w:firstLine="709"/>
        <w:jc w:val="both"/>
        <w:rPr>
          <w:rFonts w:ascii="Times New Roman" w:eastAsia="Times New Roman" w:hAnsi="Times New Roman" w:cs="Times New Roman"/>
          <w:color w:val="0D0D0D"/>
          <w:sz w:val="28"/>
          <w:szCs w:val="28"/>
          <w:lang w:eastAsia="uk-UA"/>
        </w:rPr>
      </w:pPr>
      <w:r w:rsidRPr="005605E9">
        <w:rPr>
          <w:rFonts w:ascii="Times New Roman" w:eastAsia="Times New Roman" w:hAnsi="Times New Roman" w:cs="Times New Roman"/>
          <w:color w:val="0D0D0D"/>
          <w:sz w:val="28"/>
          <w:szCs w:val="28"/>
          <w:lang w:eastAsia="uk-UA"/>
        </w:rPr>
        <w:t>Оскільки суди встановили обставини виконання сторонами договору, ВП ВС виснувала, що, задовольняючи позовні вимоги ліцею, суди також мали повернути від ліцею на користь підприємства майно, передане на виконання умов договору, тобто застосувати двосторонню реституцію як необхідний наслідок визнання недійсним договору та задоволення реституційної вимоги ліцею</w:t>
      </w:r>
      <w:r w:rsidRPr="005605E9">
        <w:rPr>
          <w:rFonts w:ascii="Times New Roman" w:eastAsia="Times New Roman" w:hAnsi="Times New Roman" w:cs="Times New Roman"/>
          <w:color w:val="0D0D0D"/>
          <w:sz w:val="28"/>
          <w:szCs w:val="28"/>
          <w:vertAlign w:val="superscript"/>
          <w:lang w:eastAsia="uk-UA"/>
        </w:rPr>
        <w:footnoteReference w:id="25"/>
      </w:r>
      <w:r w:rsidRPr="005605E9">
        <w:rPr>
          <w:rFonts w:ascii="Times New Roman" w:eastAsia="Times New Roman" w:hAnsi="Times New Roman" w:cs="Times New Roman"/>
          <w:color w:val="0D0D0D"/>
          <w:sz w:val="28"/>
          <w:szCs w:val="28"/>
          <w:lang w:eastAsia="uk-UA"/>
        </w:rPr>
        <w:t>.</w:t>
      </w:r>
    </w:p>
    <w:p w14:paraId="13D405B4" w14:textId="77777777" w:rsidR="005605E9" w:rsidRPr="005605E9" w:rsidRDefault="005605E9" w:rsidP="005605E9">
      <w:pPr>
        <w:tabs>
          <w:tab w:val="left" w:pos="993"/>
        </w:tabs>
        <w:spacing w:after="0" w:line="360" w:lineRule="auto"/>
        <w:ind w:firstLine="709"/>
        <w:jc w:val="both"/>
        <w:rPr>
          <w:rFonts w:ascii="Times New Roman" w:eastAsia="Calibri" w:hAnsi="Times New Roman" w:cs="Times New Roman"/>
          <w:color w:val="0D0D0D"/>
          <w:sz w:val="28"/>
          <w:szCs w:val="28"/>
        </w:rPr>
      </w:pPr>
      <w:r w:rsidRPr="005605E9">
        <w:rPr>
          <w:rFonts w:ascii="Times New Roman" w:eastAsia="Calibri" w:hAnsi="Times New Roman" w:cs="Times New Roman"/>
          <w:color w:val="0D0D0D"/>
          <w:sz w:val="28"/>
          <w:szCs w:val="28"/>
        </w:rPr>
        <w:t xml:space="preserve">При цьому важливо пам’ятати, що рішення суду про визнання недійсним договору не є підставою для внесення запису про скасування прав на нерухоме майно. У разі визнання недійсним договору, за яким було прийнято рішення про державну реєстрацію прав, </w:t>
      </w:r>
      <w:r w:rsidRPr="005605E9">
        <w:rPr>
          <w:rFonts w:ascii="Times New Roman" w:eastAsia="Calibri" w:hAnsi="Times New Roman" w:cs="Times New Roman"/>
          <w:b/>
          <w:bCs/>
          <w:color w:val="0D0D0D"/>
          <w:sz w:val="28"/>
          <w:szCs w:val="28"/>
        </w:rPr>
        <w:t>слід одночасно заявляти вимогу про скасування рішення про державну реєстрацію прав.</w:t>
      </w:r>
      <w:r w:rsidRPr="005605E9">
        <w:rPr>
          <w:rFonts w:ascii="Times New Roman" w:eastAsia="Calibri" w:hAnsi="Times New Roman" w:cs="Times New Roman"/>
          <w:color w:val="0D0D0D"/>
          <w:sz w:val="28"/>
          <w:szCs w:val="28"/>
        </w:rPr>
        <w:t xml:space="preserve"> Такі вимоги є відповідним і законним способом судового захисту, оскільки за чинним ЦК України право власності виникає з моменту його реєстрації</w:t>
      </w:r>
      <w:r w:rsidRPr="005605E9">
        <w:rPr>
          <w:rFonts w:ascii="Times New Roman" w:eastAsia="Calibri" w:hAnsi="Times New Roman" w:cs="Times New Roman"/>
          <w:color w:val="0D0D0D"/>
          <w:sz w:val="28"/>
          <w:szCs w:val="28"/>
          <w:vertAlign w:val="superscript"/>
        </w:rPr>
        <w:footnoteReference w:id="26"/>
      </w:r>
      <w:r w:rsidRPr="005605E9">
        <w:rPr>
          <w:rFonts w:ascii="Times New Roman" w:eastAsia="Calibri" w:hAnsi="Times New Roman" w:cs="Times New Roman"/>
          <w:color w:val="0D0D0D"/>
          <w:sz w:val="28"/>
          <w:szCs w:val="28"/>
        </w:rPr>
        <w:t>.</w:t>
      </w:r>
    </w:p>
    <w:p w14:paraId="47EB7B18" w14:textId="77777777" w:rsidR="005605E9" w:rsidRPr="005605E9" w:rsidRDefault="005605E9" w:rsidP="005605E9">
      <w:pPr>
        <w:tabs>
          <w:tab w:val="left" w:pos="993"/>
        </w:tabs>
        <w:spacing w:after="0" w:line="360" w:lineRule="auto"/>
        <w:ind w:firstLine="709"/>
        <w:jc w:val="both"/>
        <w:rPr>
          <w:rFonts w:ascii="Times New Roman" w:eastAsia="Calibri" w:hAnsi="Times New Roman" w:cs="Times New Roman"/>
          <w:iCs/>
          <w:color w:val="0D0D0D"/>
          <w:sz w:val="28"/>
          <w:szCs w:val="28"/>
        </w:rPr>
      </w:pPr>
      <w:r w:rsidRPr="005605E9">
        <w:rPr>
          <w:rFonts w:ascii="Times New Roman" w:eastAsia="Calibri" w:hAnsi="Times New Roman" w:cs="Times New Roman"/>
          <w:color w:val="0D0D0D"/>
          <w:sz w:val="28"/>
          <w:szCs w:val="28"/>
        </w:rPr>
        <w:t xml:space="preserve">На наш погляд, </w:t>
      </w:r>
      <w:bookmarkStart w:id="14" w:name="_Hlk188820957"/>
      <w:r w:rsidRPr="005605E9">
        <w:rPr>
          <w:rFonts w:ascii="Times New Roman" w:eastAsia="Calibri" w:hAnsi="Times New Roman" w:cs="Times New Roman"/>
          <w:color w:val="0D0D0D"/>
          <w:sz w:val="28"/>
          <w:szCs w:val="28"/>
        </w:rPr>
        <w:t xml:space="preserve">можна </w:t>
      </w:r>
      <w:r w:rsidRPr="005605E9">
        <w:rPr>
          <w:rFonts w:ascii="Times New Roman" w:eastAsia="Calibri" w:hAnsi="Times New Roman" w:cs="Times New Roman"/>
          <w:iCs/>
          <w:color w:val="0D0D0D"/>
          <w:sz w:val="28"/>
          <w:szCs w:val="28"/>
        </w:rPr>
        <w:t>розцінювати вимогу про скасування державної реєстрації прав на спірне нерухоме майно, заявлену разом з вимогою про визнання договору недійсним, як вимогу про застосування реституції</w:t>
      </w:r>
      <w:bookmarkEnd w:id="14"/>
      <w:r w:rsidRPr="005605E9">
        <w:rPr>
          <w:rFonts w:ascii="Times New Roman" w:eastAsia="Calibri" w:hAnsi="Times New Roman" w:cs="Times New Roman"/>
          <w:iCs/>
          <w:color w:val="0D0D0D"/>
          <w:sz w:val="28"/>
          <w:szCs w:val="28"/>
        </w:rPr>
        <w:t>.</w:t>
      </w:r>
    </w:p>
    <w:p w14:paraId="2FDE241B" w14:textId="77777777" w:rsidR="005605E9" w:rsidRPr="005605E9" w:rsidRDefault="005605E9" w:rsidP="005605E9">
      <w:pPr>
        <w:tabs>
          <w:tab w:val="left" w:pos="993"/>
        </w:tabs>
        <w:spacing w:after="0" w:line="360" w:lineRule="auto"/>
        <w:ind w:firstLine="709"/>
        <w:jc w:val="both"/>
        <w:rPr>
          <w:rFonts w:ascii="Times New Roman" w:eastAsia="Calibri" w:hAnsi="Times New Roman" w:cs="Times New Roman"/>
          <w:iCs/>
          <w:color w:val="0D0D0D"/>
          <w:sz w:val="28"/>
          <w:szCs w:val="28"/>
        </w:rPr>
      </w:pPr>
    </w:p>
    <w:p w14:paraId="781BF839" w14:textId="77777777" w:rsidR="005605E9" w:rsidRPr="005605E9" w:rsidRDefault="005605E9" w:rsidP="005605E9">
      <w:pPr>
        <w:tabs>
          <w:tab w:val="left" w:pos="993"/>
        </w:tabs>
        <w:spacing w:after="0" w:line="360" w:lineRule="auto"/>
        <w:ind w:firstLine="709"/>
        <w:jc w:val="both"/>
        <w:rPr>
          <w:rFonts w:ascii="Times New Roman" w:eastAsia="Calibri" w:hAnsi="Times New Roman" w:cs="Times New Roman"/>
          <w:b/>
          <w:bCs/>
          <w:iCs/>
          <w:color w:val="0D0D0D"/>
          <w:sz w:val="28"/>
          <w:szCs w:val="28"/>
        </w:rPr>
      </w:pPr>
      <w:r w:rsidRPr="005605E9">
        <w:rPr>
          <w:rFonts w:ascii="Times New Roman" w:eastAsia="Calibri" w:hAnsi="Times New Roman" w:cs="Times New Roman"/>
          <w:b/>
          <w:bCs/>
          <w:iCs/>
          <w:color w:val="0D0D0D"/>
          <w:sz w:val="28"/>
          <w:szCs w:val="28"/>
        </w:rPr>
        <w:t>Висновки</w:t>
      </w:r>
    </w:p>
    <w:p w14:paraId="640E896F" w14:textId="77777777" w:rsidR="005605E9" w:rsidRPr="005605E9" w:rsidRDefault="005605E9" w:rsidP="005605E9">
      <w:pPr>
        <w:tabs>
          <w:tab w:val="left" w:pos="993"/>
        </w:tabs>
        <w:spacing w:after="0" w:line="360" w:lineRule="auto"/>
        <w:ind w:firstLine="709"/>
        <w:jc w:val="both"/>
        <w:rPr>
          <w:rFonts w:ascii="Times New Roman" w:eastAsia="Calibri" w:hAnsi="Times New Roman" w:cs="Times New Roman"/>
          <w:iCs/>
          <w:color w:val="0D0D0D"/>
          <w:sz w:val="28"/>
          <w:szCs w:val="28"/>
        </w:rPr>
      </w:pPr>
    </w:p>
    <w:p w14:paraId="1CBB425D" w14:textId="77777777" w:rsidR="005605E9" w:rsidRPr="005605E9" w:rsidRDefault="005605E9" w:rsidP="005605E9">
      <w:pPr>
        <w:spacing w:after="0" w:line="360" w:lineRule="auto"/>
        <w:ind w:firstLine="709"/>
        <w:jc w:val="both"/>
        <w:rPr>
          <w:rFonts w:ascii="Times New Roman" w:eastAsia="Calibri" w:hAnsi="Times New Roman" w:cs="Times New Roman"/>
          <w:color w:val="0D0D0D"/>
          <w:sz w:val="28"/>
          <w:szCs w:val="28"/>
        </w:rPr>
      </w:pPr>
      <w:r w:rsidRPr="005605E9">
        <w:rPr>
          <w:rFonts w:ascii="Times New Roman" w:eastAsia="Calibri" w:hAnsi="Times New Roman" w:cs="Times New Roman"/>
          <w:b/>
          <w:bCs/>
          <w:color w:val="0D0D0D"/>
          <w:sz w:val="28"/>
          <w:szCs w:val="28"/>
        </w:rPr>
        <w:lastRenderedPageBreak/>
        <w:t>1.</w:t>
      </w:r>
      <w:r w:rsidRPr="005605E9">
        <w:rPr>
          <w:rFonts w:ascii="Times New Roman" w:eastAsia="Calibri" w:hAnsi="Times New Roman" w:cs="Times New Roman"/>
          <w:color w:val="0D0D0D"/>
          <w:sz w:val="28"/>
          <w:szCs w:val="28"/>
        </w:rPr>
        <w:t> У питаннях діяльності політичних партій участь держави зводиться до двох напрямів: як прояв державно-правового примусу уповноваженими органами держави та як рівний суб’єкт правовідносин, що має свої інтереси.</w:t>
      </w:r>
    </w:p>
    <w:p w14:paraId="56EDB7DC" w14:textId="77777777" w:rsidR="005605E9" w:rsidRPr="005605E9" w:rsidRDefault="005605E9" w:rsidP="005605E9">
      <w:pPr>
        <w:spacing w:after="0" w:line="360" w:lineRule="auto"/>
        <w:ind w:firstLine="709"/>
        <w:jc w:val="both"/>
        <w:rPr>
          <w:rFonts w:ascii="Times New Roman" w:eastAsia="Calibri" w:hAnsi="Times New Roman" w:cs="Times New Roman"/>
          <w:color w:val="0D0D0D"/>
          <w:sz w:val="28"/>
          <w:szCs w:val="28"/>
          <w:lang w:eastAsia="uk-UA" w:bidi="uk-UA"/>
        </w:rPr>
      </w:pPr>
      <w:r w:rsidRPr="005605E9">
        <w:rPr>
          <w:rFonts w:ascii="Times New Roman" w:eastAsia="Calibri" w:hAnsi="Times New Roman" w:cs="Times New Roman"/>
          <w:color w:val="0D0D0D"/>
          <w:sz w:val="28"/>
          <w:szCs w:val="28"/>
        </w:rPr>
        <w:t xml:space="preserve">Для забезпечення національних інтересів держави на конституційному (та далі на законодавчому) рівнях закріплюються, в тому числі певні заборони </w:t>
      </w:r>
      <w:r w:rsidRPr="005605E9">
        <w:rPr>
          <w:rFonts w:ascii="Times New Roman" w:eastAsia="Calibri" w:hAnsi="Times New Roman" w:cs="Times New Roman"/>
          <w:color w:val="0D0D0D"/>
          <w:sz w:val="28"/>
          <w:szCs w:val="28"/>
          <w:lang w:eastAsia="uk-UA" w:bidi="uk-UA"/>
        </w:rPr>
        <w:t xml:space="preserve">щодо діяльності політичних партії. Закріплення норм-заборон з приводу діяльності політичних партій у широкому підході є закріпленням прояву держаного примусу як основного засобу реалізації норм права (конституційних та законодавчих) через його вид, міру, межі й підстави. </w:t>
      </w:r>
    </w:p>
    <w:p w14:paraId="78B35719" w14:textId="77777777" w:rsidR="005605E9" w:rsidRPr="005605E9" w:rsidRDefault="005605E9" w:rsidP="005605E9">
      <w:pPr>
        <w:spacing w:after="0" w:line="360" w:lineRule="auto"/>
        <w:ind w:firstLine="709"/>
        <w:jc w:val="both"/>
        <w:rPr>
          <w:rFonts w:ascii="Times New Roman" w:eastAsia="Calibri" w:hAnsi="Times New Roman" w:cs="Times New Roman"/>
          <w:color w:val="0D0D0D"/>
          <w:sz w:val="28"/>
          <w:szCs w:val="28"/>
          <w:lang w:eastAsia="uk-UA" w:bidi="uk-UA"/>
        </w:rPr>
      </w:pPr>
      <w:r w:rsidRPr="005605E9">
        <w:rPr>
          <w:rFonts w:ascii="Times New Roman" w:eastAsia="Calibri" w:hAnsi="Times New Roman" w:cs="Times New Roman"/>
          <w:color w:val="0D0D0D"/>
          <w:sz w:val="28"/>
          <w:szCs w:val="28"/>
          <w:lang w:eastAsia="uk-UA" w:bidi="uk-UA"/>
        </w:rPr>
        <w:t xml:space="preserve">Під інтересами держави загалом розуміється </w:t>
      </w:r>
      <w:r w:rsidRPr="005605E9">
        <w:rPr>
          <w:rFonts w:ascii="Times New Roman" w:eastAsia="Calibri" w:hAnsi="Times New Roman" w:cs="Times New Roman"/>
          <w:color w:val="0D0D0D"/>
          <w:sz w:val="28"/>
          <w:szCs w:val="28"/>
        </w:rPr>
        <w:t xml:space="preserve">комплекс збалансованих потреб особи та суспільства, реалізацію яких забезпечують інститути державної влади за взаємодії з громадськими об’єднаннями. </w:t>
      </w:r>
      <w:r w:rsidRPr="005605E9">
        <w:rPr>
          <w:rFonts w:ascii="Times New Roman" w:eastAsia="Calibri" w:hAnsi="Times New Roman" w:cs="Times New Roman"/>
          <w:color w:val="0D0D0D"/>
          <w:sz w:val="28"/>
          <w:szCs w:val="28"/>
          <w:lang w:eastAsia="uk-UA" w:bidi="uk-UA"/>
        </w:rPr>
        <w:t>Інтереси держави в демократичних державах в ідеалі мають збігатися із національними, зважаючи на єдність, солідарність й патріотичність нації, а можуть мати і самостійне значення. У питанні заборони діяльності політичних партій  інтереси держави безперечно пов’язані із національними інтересами.</w:t>
      </w:r>
    </w:p>
    <w:p w14:paraId="132154AB" w14:textId="58BD8A95" w:rsidR="005605E9" w:rsidRPr="005605E9" w:rsidRDefault="005605E9" w:rsidP="005605E9">
      <w:pPr>
        <w:spacing w:after="0" w:line="360" w:lineRule="auto"/>
        <w:ind w:firstLine="709"/>
        <w:jc w:val="both"/>
        <w:rPr>
          <w:rFonts w:ascii="Times New Roman" w:eastAsia="Times New Roman" w:hAnsi="Times New Roman" w:cs="Times New Roman"/>
          <w:color w:val="0D0D0D"/>
          <w:sz w:val="27"/>
          <w:szCs w:val="27"/>
        </w:rPr>
      </w:pPr>
      <w:r w:rsidRPr="005605E9">
        <w:rPr>
          <w:rFonts w:ascii="Times New Roman" w:eastAsia="Times New Roman" w:hAnsi="Times New Roman" w:cs="Times New Roman"/>
          <w:color w:val="0D0D0D"/>
          <w:sz w:val="27"/>
          <w:szCs w:val="27"/>
        </w:rPr>
        <w:t>Фонд державного майна виступає уповноваженим органом управління вказаним майном. А власне дії щодо розшуку майна заборонених політичних партій, в тому числі, шляхом надіслання до державних органів, зокрема АРМА, а також органів місцевого самоврядування, підприємств, установ, організацій незалежно від форми власності запитів (але не виключно), звернення до судів як реалізація юрисди</w:t>
      </w:r>
      <w:r w:rsidR="00F240FA">
        <w:rPr>
          <w:rFonts w:ascii="Times New Roman" w:eastAsia="Times New Roman" w:hAnsi="Times New Roman" w:cs="Times New Roman"/>
          <w:color w:val="0D0D0D"/>
          <w:sz w:val="27"/>
          <w:szCs w:val="27"/>
        </w:rPr>
        <w:t>к</w:t>
      </w:r>
      <w:r w:rsidRPr="005605E9">
        <w:rPr>
          <w:rFonts w:ascii="Times New Roman" w:eastAsia="Times New Roman" w:hAnsi="Times New Roman" w:cs="Times New Roman"/>
          <w:color w:val="0D0D0D"/>
          <w:sz w:val="27"/>
          <w:szCs w:val="27"/>
        </w:rPr>
        <w:t xml:space="preserve">ційних форм захисту інтересів держави у виді повернення майна у власність Комуністичної партії України з метою подальшого передання у власність держави, покладаються на Міністерство юстиції України, що робить його уповноваженим органом у досліджуваній процедурі оскарження договору дарування. </w:t>
      </w:r>
    </w:p>
    <w:p w14:paraId="00B9DDE5" w14:textId="77777777" w:rsidR="005605E9" w:rsidRPr="005605E9" w:rsidRDefault="005605E9" w:rsidP="005605E9">
      <w:pPr>
        <w:spacing w:after="0" w:line="360" w:lineRule="auto"/>
        <w:ind w:firstLine="709"/>
        <w:jc w:val="both"/>
        <w:rPr>
          <w:rFonts w:ascii="Times New Roman" w:eastAsia="Calibri" w:hAnsi="Times New Roman" w:cs="Times New Roman"/>
          <w:color w:val="0D0D0D"/>
          <w:sz w:val="28"/>
          <w:szCs w:val="28"/>
        </w:rPr>
      </w:pPr>
      <w:r w:rsidRPr="005605E9">
        <w:rPr>
          <w:rFonts w:ascii="Times New Roman" w:eastAsia="Times New Roman" w:hAnsi="Times New Roman" w:cs="Times New Roman"/>
          <w:b/>
          <w:bCs/>
          <w:color w:val="0D0D0D"/>
          <w:sz w:val="27"/>
          <w:szCs w:val="27"/>
        </w:rPr>
        <w:t>2.</w:t>
      </w:r>
      <w:r w:rsidRPr="005605E9">
        <w:rPr>
          <w:rFonts w:ascii="Times New Roman" w:eastAsia="Times New Roman" w:hAnsi="Times New Roman" w:cs="Times New Roman"/>
          <w:color w:val="0D0D0D"/>
          <w:sz w:val="27"/>
          <w:szCs w:val="27"/>
        </w:rPr>
        <w:t> </w:t>
      </w:r>
      <w:r w:rsidRPr="005605E9">
        <w:rPr>
          <w:rFonts w:ascii="Times New Roman" w:eastAsia="Calibri" w:hAnsi="Times New Roman" w:cs="Times New Roman"/>
          <w:color w:val="0D0D0D"/>
          <w:sz w:val="28"/>
          <w:szCs w:val="28"/>
          <w:lang w:val="en-US"/>
        </w:rPr>
        <w:t> </w:t>
      </w:r>
      <w:r w:rsidRPr="005605E9">
        <w:rPr>
          <w:rFonts w:ascii="Times New Roman" w:eastAsia="Calibri" w:hAnsi="Times New Roman" w:cs="Times New Roman"/>
          <w:color w:val="0D0D0D"/>
          <w:sz w:val="28"/>
          <w:szCs w:val="28"/>
        </w:rPr>
        <w:t xml:space="preserve">Сторони є пов’язаними особами їх спільною діяльністю, наявністю обопільного волевиявлення на збереження майна комуністичної партії будь-якими формально законними способами, використовуючи намір для </w:t>
      </w:r>
      <w:r w:rsidRPr="005605E9">
        <w:rPr>
          <w:rFonts w:ascii="Times New Roman" w:eastAsia="Calibri" w:hAnsi="Times New Roman" w:cs="Times New Roman"/>
          <w:color w:val="0D0D0D"/>
          <w:sz w:val="28"/>
          <w:szCs w:val="28"/>
        </w:rPr>
        <w:lastRenderedPageBreak/>
        <w:t xml:space="preserve">приховання іншого. Правові передумови майбутнього переходу майна у власність держави були реально прогнозованими у недалекому майбутньому, зважаючи на відкрите адміністративне провадження про заборону комуністичної партії. Відштовхуючись від загальних процесуальних строків, визначених КАС України, можна зазначити, що укладення договору дарування менше ніж через місяць після відкриття провадження свідчить про укладення договору дарування не для дійсного переходу власності до Благодійного Фонду, а з прихованою метою недопущення переходу будівлі забороненої комуністичної партії у власність держави. </w:t>
      </w:r>
    </w:p>
    <w:p w14:paraId="75824F63" w14:textId="77777777" w:rsidR="005605E9" w:rsidRPr="005605E9" w:rsidRDefault="005605E9" w:rsidP="005605E9">
      <w:pPr>
        <w:tabs>
          <w:tab w:val="left" w:pos="993"/>
        </w:tabs>
        <w:spacing w:after="0" w:line="360" w:lineRule="auto"/>
        <w:ind w:firstLine="709"/>
        <w:jc w:val="both"/>
        <w:rPr>
          <w:rFonts w:ascii="Times New Roman" w:eastAsia="Calibri" w:hAnsi="Times New Roman" w:cs="Times New Roman"/>
          <w:color w:val="0D0D0D"/>
          <w:sz w:val="28"/>
          <w:szCs w:val="28"/>
        </w:rPr>
      </w:pPr>
      <w:r w:rsidRPr="005605E9">
        <w:rPr>
          <w:rFonts w:ascii="Times New Roman" w:eastAsia="Calibri" w:hAnsi="Times New Roman" w:cs="Times New Roman"/>
          <w:color w:val="0D0D0D"/>
          <w:sz w:val="28"/>
          <w:szCs w:val="28"/>
        </w:rPr>
        <w:t xml:space="preserve">Укладення такого договору допомогло зберегти майно у приватній власності будь-яким формально-законним шляхом, що в суті правовідносин завдало шкоди інтересам держави. Договір дарування може бути кваліфікований як </w:t>
      </w:r>
      <w:proofErr w:type="spellStart"/>
      <w:r w:rsidRPr="005605E9">
        <w:rPr>
          <w:rFonts w:ascii="Times New Roman" w:eastAsia="Calibri" w:hAnsi="Times New Roman" w:cs="Times New Roman"/>
          <w:color w:val="0D0D0D"/>
          <w:sz w:val="28"/>
          <w:szCs w:val="28"/>
        </w:rPr>
        <w:t>фраудаторний</w:t>
      </w:r>
      <w:proofErr w:type="spellEnd"/>
      <w:r w:rsidRPr="005605E9">
        <w:rPr>
          <w:rFonts w:ascii="Times New Roman" w:eastAsia="Calibri" w:hAnsi="Times New Roman" w:cs="Times New Roman"/>
          <w:color w:val="0D0D0D"/>
          <w:sz w:val="28"/>
          <w:szCs w:val="28"/>
        </w:rPr>
        <w:t xml:space="preserve"> – його укладення було спрямоване на уникнення переходу майна (будівлі) у дохід держави.</w:t>
      </w:r>
    </w:p>
    <w:p w14:paraId="232C87D2" w14:textId="77777777" w:rsidR="005605E9" w:rsidRPr="005605E9" w:rsidRDefault="005605E9" w:rsidP="005605E9">
      <w:pPr>
        <w:autoSpaceDE w:val="0"/>
        <w:autoSpaceDN w:val="0"/>
        <w:adjustRightInd w:val="0"/>
        <w:spacing w:after="0" w:line="360" w:lineRule="auto"/>
        <w:ind w:firstLine="709"/>
        <w:jc w:val="both"/>
        <w:rPr>
          <w:rFonts w:ascii="Times New Roman" w:eastAsia="Calibri" w:hAnsi="Times New Roman" w:cs="Times New Roman"/>
          <w:iCs/>
          <w:color w:val="0D0D0D"/>
          <w:sz w:val="28"/>
          <w:szCs w:val="28"/>
        </w:rPr>
      </w:pPr>
      <w:r w:rsidRPr="005605E9">
        <w:rPr>
          <w:rFonts w:ascii="Times New Roman" w:eastAsia="Calibri" w:hAnsi="Times New Roman" w:cs="Times New Roman"/>
          <w:b/>
          <w:bCs/>
          <w:color w:val="0D0D0D"/>
          <w:sz w:val="28"/>
          <w:szCs w:val="28"/>
        </w:rPr>
        <w:t>3.</w:t>
      </w:r>
      <w:r w:rsidRPr="005605E9">
        <w:rPr>
          <w:rFonts w:ascii="Times New Roman" w:eastAsia="Calibri" w:hAnsi="Times New Roman" w:cs="Times New Roman"/>
          <w:color w:val="0D0D0D"/>
          <w:sz w:val="28"/>
          <w:szCs w:val="28"/>
        </w:rPr>
        <w:t> </w:t>
      </w:r>
      <w:r w:rsidRPr="005605E9">
        <w:rPr>
          <w:rFonts w:ascii="Times New Roman" w:eastAsia="TimesNewRomanPSMT" w:hAnsi="Times New Roman" w:cs="Times New Roman"/>
          <w:color w:val="0D0D0D"/>
          <w:sz w:val="28"/>
          <w:szCs w:val="28"/>
        </w:rPr>
        <w:t xml:space="preserve">Договір дарування між Комуністичною партією і Благодійним Фондом «Відродження», укладений 05 серпня 2014 року можна кваліфікувати як </w:t>
      </w:r>
      <w:r w:rsidRPr="005605E9">
        <w:rPr>
          <w:rFonts w:ascii="Times New Roman" w:eastAsia="Calibri" w:hAnsi="Times New Roman" w:cs="Times New Roman"/>
          <w:iCs/>
          <w:color w:val="0D0D0D"/>
          <w:sz w:val="28"/>
          <w:szCs w:val="28"/>
        </w:rPr>
        <w:t xml:space="preserve">фіктивний, незважаючи на те, що майно де-факто передано іншій, пов’язаній особі, оскільки істинні мотиви й мета договору була спрямована на ненастання жодних нових правових наслідків. </w:t>
      </w:r>
    </w:p>
    <w:p w14:paraId="7E63563B" w14:textId="77777777" w:rsidR="005605E9" w:rsidRPr="005605E9" w:rsidRDefault="005605E9" w:rsidP="005605E9">
      <w:pPr>
        <w:tabs>
          <w:tab w:val="left" w:pos="993"/>
        </w:tabs>
        <w:spacing w:after="0" w:line="360" w:lineRule="auto"/>
        <w:ind w:firstLine="709"/>
        <w:contextualSpacing/>
        <w:jc w:val="both"/>
        <w:rPr>
          <w:rFonts w:ascii="Times New Roman" w:eastAsia="Calibri" w:hAnsi="Times New Roman" w:cs="Times New Roman"/>
          <w:iCs/>
          <w:color w:val="0D0D0D"/>
          <w:sz w:val="28"/>
          <w:szCs w:val="28"/>
        </w:rPr>
      </w:pPr>
      <w:r w:rsidRPr="005605E9">
        <w:rPr>
          <w:rFonts w:ascii="Times New Roman" w:eastAsia="Calibri" w:hAnsi="Times New Roman" w:cs="Times New Roman"/>
          <w:b/>
          <w:bCs/>
          <w:color w:val="0D0D0D"/>
          <w:sz w:val="28"/>
          <w:szCs w:val="28"/>
        </w:rPr>
        <w:t>4.</w:t>
      </w:r>
      <w:r w:rsidRPr="005605E9">
        <w:rPr>
          <w:rFonts w:ascii="Times New Roman" w:eastAsia="Calibri" w:hAnsi="Times New Roman" w:cs="Times New Roman"/>
          <w:color w:val="0D0D0D"/>
          <w:sz w:val="28"/>
          <w:szCs w:val="28"/>
        </w:rPr>
        <w:t> </w:t>
      </w:r>
      <w:r w:rsidRPr="005605E9">
        <w:rPr>
          <w:rFonts w:ascii="Times New Roman" w:eastAsia="Calibri" w:hAnsi="Times New Roman" w:cs="Times New Roman"/>
          <w:iCs/>
          <w:color w:val="0D0D0D"/>
          <w:sz w:val="28"/>
          <w:szCs w:val="28"/>
        </w:rPr>
        <w:t>Звернення з позовом про визнання недійсним договору дарування є належним та ефективним способом захисту.</w:t>
      </w:r>
    </w:p>
    <w:p w14:paraId="43F0188F" w14:textId="77777777" w:rsidR="005605E9" w:rsidRPr="005605E9" w:rsidRDefault="005605E9" w:rsidP="005605E9">
      <w:pPr>
        <w:tabs>
          <w:tab w:val="left" w:pos="993"/>
        </w:tabs>
        <w:spacing w:after="0" w:line="360" w:lineRule="auto"/>
        <w:ind w:firstLine="709"/>
        <w:contextualSpacing/>
        <w:jc w:val="both"/>
        <w:rPr>
          <w:rFonts w:ascii="Times New Roman" w:eastAsia="Calibri" w:hAnsi="Times New Roman" w:cs="Times New Roman"/>
          <w:iCs/>
          <w:color w:val="0D0D0D"/>
          <w:sz w:val="28"/>
          <w:szCs w:val="28"/>
        </w:rPr>
      </w:pPr>
      <w:r w:rsidRPr="005605E9">
        <w:rPr>
          <w:rFonts w:ascii="Times New Roman" w:eastAsia="Calibri" w:hAnsi="Times New Roman" w:cs="Times New Roman"/>
          <w:b/>
          <w:bCs/>
          <w:iCs/>
          <w:color w:val="0D0D0D"/>
          <w:sz w:val="28"/>
          <w:szCs w:val="28"/>
        </w:rPr>
        <w:t>5.</w:t>
      </w:r>
      <w:r w:rsidRPr="005605E9">
        <w:rPr>
          <w:rFonts w:ascii="Times New Roman" w:eastAsia="Calibri" w:hAnsi="Times New Roman" w:cs="Times New Roman"/>
          <w:iCs/>
          <w:color w:val="0D0D0D"/>
          <w:sz w:val="28"/>
          <w:szCs w:val="28"/>
        </w:rPr>
        <w:t> </w:t>
      </w:r>
      <w:r w:rsidRPr="005605E9">
        <w:rPr>
          <w:rFonts w:ascii="Times New Roman" w:eastAsia="Calibri" w:hAnsi="Times New Roman" w:cs="Times New Roman"/>
          <w:color w:val="0D0D0D"/>
          <w:sz w:val="28"/>
          <w:szCs w:val="28"/>
        </w:rPr>
        <w:t xml:space="preserve">Можна </w:t>
      </w:r>
      <w:r w:rsidRPr="005605E9">
        <w:rPr>
          <w:rFonts w:ascii="Times New Roman" w:eastAsia="Calibri" w:hAnsi="Times New Roman" w:cs="Times New Roman"/>
          <w:iCs/>
          <w:color w:val="0D0D0D"/>
          <w:sz w:val="28"/>
          <w:szCs w:val="28"/>
        </w:rPr>
        <w:t xml:space="preserve">розцінювати вимогу про скасування державної  реєстрації прав на спірне нерухоме майно, заявлену разом з вимогою про визнання договору недійсним, як вимогу про застосування реституції. </w:t>
      </w:r>
    </w:p>
    <w:p w14:paraId="6CEAFAFE" w14:textId="77777777" w:rsidR="005605E9" w:rsidRPr="005605E9" w:rsidRDefault="005605E9" w:rsidP="005605E9">
      <w:pPr>
        <w:tabs>
          <w:tab w:val="left" w:pos="993"/>
        </w:tabs>
        <w:spacing w:after="0" w:line="240" w:lineRule="auto"/>
        <w:ind w:firstLine="709"/>
        <w:contextualSpacing/>
        <w:jc w:val="both"/>
        <w:rPr>
          <w:rFonts w:ascii="Times New Roman" w:eastAsia="Calibri" w:hAnsi="Times New Roman" w:cs="Times New Roman"/>
          <w:iCs/>
          <w:color w:val="0D0D0D"/>
          <w:sz w:val="28"/>
          <w:szCs w:val="28"/>
        </w:rPr>
      </w:pPr>
    </w:p>
    <w:p w14:paraId="0DABC256" w14:textId="77777777" w:rsidR="005605E9" w:rsidRPr="005605E9" w:rsidRDefault="005605E9" w:rsidP="005605E9">
      <w:pPr>
        <w:tabs>
          <w:tab w:val="left" w:pos="993"/>
        </w:tabs>
        <w:spacing w:after="0" w:line="240" w:lineRule="auto"/>
        <w:jc w:val="both"/>
        <w:rPr>
          <w:rFonts w:ascii="Times New Roman" w:eastAsia="Calibri" w:hAnsi="Times New Roman" w:cs="Times New Roman"/>
          <w:b/>
          <w:bCs/>
          <w:i/>
          <w:color w:val="0D0D0D"/>
          <w:sz w:val="28"/>
          <w:szCs w:val="28"/>
        </w:rPr>
      </w:pPr>
      <w:r w:rsidRPr="005605E9">
        <w:rPr>
          <w:rFonts w:ascii="Times New Roman" w:eastAsia="Calibri" w:hAnsi="Times New Roman" w:cs="Times New Roman"/>
          <w:iCs/>
          <w:color w:val="0D0D0D"/>
          <w:sz w:val="28"/>
          <w:szCs w:val="28"/>
        </w:rPr>
        <w:tab/>
      </w:r>
      <w:r w:rsidRPr="005605E9">
        <w:rPr>
          <w:rFonts w:ascii="Times New Roman" w:eastAsia="Calibri" w:hAnsi="Times New Roman" w:cs="Times New Roman"/>
          <w:b/>
          <w:bCs/>
          <w:i/>
          <w:color w:val="0D0D0D"/>
          <w:sz w:val="28"/>
          <w:szCs w:val="28"/>
        </w:rPr>
        <w:t xml:space="preserve">Член Науково-консультативної ради </w:t>
      </w:r>
    </w:p>
    <w:p w14:paraId="114B0BA0" w14:textId="77777777" w:rsidR="005605E9" w:rsidRPr="005605E9" w:rsidRDefault="005605E9" w:rsidP="005605E9">
      <w:pPr>
        <w:tabs>
          <w:tab w:val="left" w:pos="993"/>
        </w:tabs>
        <w:spacing w:after="0" w:line="240" w:lineRule="auto"/>
        <w:jc w:val="both"/>
        <w:rPr>
          <w:rFonts w:ascii="Times New Roman" w:eastAsia="Calibri" w:hAnsi="Times New Roman" w:cs="Times New Roman"/>
          <w:b/>
          <w:bCs/>
          <w:i/>
          <w:color w:val="0D0D0D"/>
          <w:sz w:val="28"/>
          <w:szCs w:val="28"/>
        </w:rPr>
      </w:pPr>
      <w:r w:rsidRPr="005605E9">
        <w:rPr>
          <w:rFonts w:ascii="Times New Roman" w:eastAsia="Calibri" w:hAnsi="Times New Roman" w:cs="Times New Roman"/>
          <w:b/>
          <w:bCs/>
          <w:i/>
          <w:color w:val="0D0D0D"/>
          <w:sz w:val="28"/>
          <w:szCs w:val="28"/>
        </w:rPr>
        <w:tab/>
        <w:t>при Верховному Суді</w:t>
      </w:r>
    </w:p>
    <w:p w14:paraId="0709BD50" w14:textId="77777777" w:rsidR="005605E9" w:rsidRPr="005605E9" w:rsidRDefault="005605E9" w:rsidP="005605E9">
      <w:pPr>
        <w:tabs>
          <w:tab w:val="left" w:pos="993"/>
        </w:tabs>
        <w:spacing w:after="0" w:line="240" w:lineRule="auto"/>
        <w:jc w:val="both"/>
        <w:rPr>
          <w:rFonts w:ascii="Times New Roman" w:eastAsia="Calibri" w:hAnsi="Times New Roman" w:cs="Times New Roman"/>
          <w:b/>
          <w:bCs/>
          <w:i/>
          <w:color w:val="0D0D0D"/>
          <w:sz w:val="28"/>
          <w:szCs w:val="28"/>
        </w:rPr>
      </w:pPr>
      <w:r w:rsidRPr="005605E9">
        <w:rPr>
          <w:rFonts w:ascii="Times New Roman" w:eastAsia="Calibri" w:hAnsi="Times New Roman" w:cs="Times New Roman"/>
          <w:b/>
          <w:bCs/>
          <w:i/>
          <w:color w:val="0D0D0D"/>
          <w:sz w:val="28"/>
          <w:szCs w:val="28"/>
        </w:rPr>
        <w:tab/>
        <w:t xml:space="preserve">Завідувач лабораторії НДІ </w:t>
      </w:r>
    </w:p>
    <w:p w14:paraId="1BB064C8" w14:textId="77777777" w:rsidR="005605E9" w:rsidRPr="005605E9" w:rsidRDefault="005605E9" w:rsidP="005605E9">
      <w:pPr>
        <w:tabs>
          <w:tab w:val="left" w:pos="993"/>
        </w:tabs>
        <w:spacing w:after="0" w:line="240" w:lineRule="auto"/>
        <w:jc w:val="both"/>
        <w:rPr>
          <w:rFonts w:ascii="Times New Roman" w:eastAsia="Calibri" w:hAnsi="Times New Roman" w:cs="Times New Roman"/>
          <w:b/>
          <w:bCs/>
          <w:i/>
          <w:color w:val="0D0D0D"/>
          <w:sz w:val="28"/>
          <w:szCs w:val="28"/>
        </w:rPr>
      </w:pPr>
      <w:r w:rsidRPr="005605E9">
        <w:rPr>
          <w:rFonts w:ascii="Times New Roman" w:eastAsia="Calibri" w:hAnsi="Times New Roman" w:cs="Times New Roman"/>
          <w:b/>
          <w:bCs/>
          <w:i/>
          <w:color w:val="0D0D0D"/>
          <w:sz w:val="28"/>
          <w:szCs w:val="28"/>
        </w:rPr>
        <w:tab/>
        <w:t>приватного права і підприємництва</w:t>
      </w:r>
    </w:p>
    <w:p w14:paraId="59170168" w14:textId="77777777" w:rsidR="005605E9" w:rsidRPr="005605E9" w:rsidRDefault="005605E9" w:rsidP="005605E9">
      <w:pPr>
        <w:tabs>
          <w:tab w:val="left" w:pos="993"/>
        </w:tabs>
        <w:spacing w:after="0" w:line="240" w:lineRule="auto"/>
        <w:jc w:val="both"/>
        <w:rPr>
          <w:rFonts w:ascii="Times New Roman" w:eastAsia="Calibri" w:hAnsi="Times New Roman" w:cs="Times New Roman"/>
          <w:b/>
          <w:bCs/>
          <w:i/>
          <w:color w:val="0D0D0D"/>
          <w:sz w:val="28"/>
          <w:szCs w:val="28"/>
        </w:rPr>
      </w:pPr>
      <w:r w:rsidRPr="005605E9">
        <w:rPr>
          <w:rFonts w:ascii="Times New Roman" w:eastAsia="Calibri" w:hAnsi="Times New Roman" w:cs="Times New Roman"/>
          <w:b/>
          <w:bCs/>
          <w:i/>
          <w:color w:val="0D0D0D"/>
          <w:sz w:val="28"/>
          <w:szCs w:val="28"/>
        </w:rPr>
        <w:tab/>
        <w:t xml:space="preserve">ім. академіка Ф. Г. Бурчака </w:t>
      </w:r>
      <w:proofErr w:type="spellStart"/>
      <w:r w:rsidRPr="005605E9">
        <w:rPr>
          <w:rFonts w:ascii="Times New Roman" w:eastAsia="Calibri" w:hAnsi="Times New Roman" w:cs="Times New Roman"/>
          <w:b/>
          <w:bCs/>
          <w:i/>
          <w:color w:val="0D0D0D"/>
          <w:sz w:val="28"/>
          <w:szCs w:val="28"/>
        </w:rPr>
        <w:t>НАПрН</w:t>
      </w:r>
      <w:proofErr w:type="spellEnd"/>
      <w:r w:rsidRPr="005605E9">
        <w:rPr>
          <w:rFonts w:ascii="Times New Roman" w:eastAsia="Calibri" w:hAnsi="Times New Roman" w:cs="Times New Roman"/>
          <w:b/>
          <w:bCs/>
          <w:i/>
          <w:color w:val="0D0D0D"/>
          <w:sz w:val="28"/>
          <w:szCs w:val="28"/>
        </w:rPr>
        <w:t xml:space="preserve"> України</w:t>
      </w:r>
    </w:p>
    <w:p w14:paraId="629DC7D3" w14:textId="63808549" w:rsidR="005605E9" w:rsidRPr="005605E9" w:rsidRDefault="005605E9" w:rsidP="005605E9">
      <w:pPr>
        <w:tabs>
          <w:tab w:val="left" w:pos="993"/>
        </w:tabs>
        <w:spacing w:after="0" w:line="240" w:lineRule="auto"/>
        <w:jc w:val="both"/>
        <w:rPr>
          <w:rFonts w:ascii="Times New Roman" w:eastAsia="Calibri" w:hAnsi="Times New Roman" w:cs="Times New Roman"/>
          <w:b/>
          <w:bCs/>
          <w:i/>
          <w:color w:val="0D0D0D"/>
          <w:sz w:val="28"/>
          <w:szCs w:val="28"/>
        </w:rPr>
      </w:pPr>
      <w:r w:rsidRPr="005605E9">
        <w:rPr>
          <w:rFonts w:ascii="Times New Roman" w:eastAsia="Calibri" w:hAnsi="Times New Roman" w:cs="Times New Roman"/>
          <w:b/>
          <w:bCs/>
          <w:i/>
          <w:color w:val="0D0D0D"/>
          <w:sz w:val="28"/>
          <w:szCs w:val="28"/>
        </w:rPr>
        <w:tab/>
      </w:r>
      <w:proofErr w:type="spellStart"/>
      <w:r w:rsidRPr="005605E9">
        <w:rPr>
          <w:rFonts w:ascii="Times New Roman" w:eastAsia="Calibri" w:hAnsi="Times New Roman" w:cs="Times New Roman"/>
          <w:b/>
          <w:bCs/>
          <w:i/>
          <w:color w:val="0D0D0D"/>
          <w:sz w:val="28"/>
          <w:szCs w:val="28"/>
        </w:rPr>
        <w:t>канд</w:t>
      </w:r>
      <w:proofErr w:type="spellEnd"/>
      <w:r w:rsidRPr="005605E9">
        <w:rPr>
          <w:rFonts w:ascii="Times New Roman" w:eastAsia="Calibri" w:hAnsi="Times New Roman" w:cs="Times New Roman"/>
          <w:b/>
          <w:bCs/>
          <w:i/>
          <w:color w:val="0D0D0D"/>
          <w:sz w:val="28"/>
          <w:szCs w:val="28"/>
        </w:rPr>
        <w:t xml:space="preserve">. </w:t>
      </w:r>
      <w:proofErr w:type="spellStart"/>
      <w:r w:rsidRPr="005605E9">
        <w:rPr>
          <w:rFonts w:ascii="Times New Roman" w:eastAsia="Calibri" w:hAnsi="Times New Roman" w:cs="Times New Roman"/>
          <w:b/>
          <w:bCs/>
          <w:i/>
          <w:color w:val="0D0D0D"/>
          <w:sz w:val="28"/>
          <w:szCs w:val="28"/>
        </w:rPr>
        <w:t>юрид</w:t>
      </w:r>
      <w:proofErr w:type="spellEnd"/>
      <w:r w:rsidRPr="005605E9">
        <w:rPr>
          <w:rFonts w:ascii="Times New Roman" w:eastAsia="Calibri" w:hAnsi="Times New Roman" w:cs="Times New Roman"/>
          <w:b/>
          <w:bCs/>
          <w:i/>
          <w:color w:val="0D0D0D"/>
          <w:sz w:val="28"/>
          <w:szCs w:val="28"/>
        </w:rPr>
        <w:t xml:space="preserve">. наук, ст. </w:t>
      </w:r>
      <w:proofErr w:type="spellStart"/>
      <w:r w:rsidRPr="005605E9">
        <w:rPr>
          <w:rFonts w:ascii="Times New Roman" w:eastAsia="Calibri" w:hAnsi="Times New Roman" w:cs="Times New Roman"/>
          <w:b/>
          <w:bCs/>
          <w:i/>
          <w:color w:val="0D0D0D"/>
          <w:sz w:val="28"/>
          <w:szCs w:val="28"/>
        </w:rPr>
        <w:t>досл</w:t>
      </w:r>
      <w:proofErr w:type="spellEnd"/>
      <w:r w:rsidRPr="005605E9">
        <w:rPr>
          <w:rFonts w:ascii="Times New Roman" w:eastAsia="Calibri" w:hAnsi="Times New Roman" w:cs="Times New Roman"/>
          <w:b/>
          <w:bCs/>
          <w:i/>
          <w:color w:val="0D0D0D"/>
          <w:sz w:val="28"/>
          <w:szCs w:val="28"/>
        </w:rPr>
        <w:t xml:space="preserve">.                               </w:t>
      </w:r>
      <w:r w:rsidR="003669E1">
        <w:rPr>
          <w:rFonts w:ascii="Times New Roman" w:eastAsia="Calibri" w:hAnsi="Times New Roman" w:cs="Times New Roman"/>
          <w:b/>
          <w:bCs/>
          <w:i/>
          <w:color w:val="0D0D0D"/>
          <w:sz w:val="28"/>
          <w:szCs w:val="28"/>
        </w:rPr>
        <w:t xml:space="preserve">       </w:t>
      </w:r>
      <w:r w:rsidRPr="005605E9">
        <w:rPr>
          <w:rFonts w:ascii="Times New Roman" w:eastAsia="Calibri" w:hAnsi="Times New Roman" w:cs="Times New Roman"/>
          <w:b/>
          <w:bCs/>
          <w:i/>
          <w:color w:val="0D0D0D"/>
          <w:sz w:val="28"/>
          <w:szCs w:val="28"/>
        </w:rPr>
        <w:t xml:space="preserve">      Т. Г. Попович</w:t>
      </w:r>
    </w:p>
    <w:p w14:paraId="5A07C9B6" w14:textId="77777777" w:rsidR="005605E9" w:rsidRPr="005605E9" w:rsidRDefault="005605E9" w:rsidP="005605E9">
      <w:pPr>
        <w:tabs>
          <w:tab w:val="left" w:pos="993"/>
        </w:tabs>
        <w:spacing w:after="0" w:line="240" w:lineRule="auto"/>
        <w:ind w:left="720" w:firstLine="709"/>
        <w:contextualSpacing/>
        <w:jc w:val="both"/>
        <w:rPr>
          <w:rFonts w:ascii="Times New Roman" w:eastAsia="Calibri" w:hAnsi="Times New Roman" w:cs="Times New Roman"/>
          <w:b/>
          <w:bCs/>
          <w:i/>
          <w:color w:val="0D0D0D"/>
          <w:sz w:val="28"/>
          <w:szCs w:val="28"/>
        </w:rPr>
      </w:pPr>
    </w:p>
    <w:p w14:paraId="77D21FB5" w14:textId="77777777" w:rsidR="005605E9" w:rsidRPr="005605E9" w:rsidRDefault="005605E9" w:rsidP="005605E9">
      <w:pPr>
        <w:tabs>
          <w:tab w:val="left" w:pos="993"/>
        </w:tabs>
        <w:spacing w:after="0" w:line="240" w:lineRule="auto"/>
        <w:ind w:left="720" w:firstLine="709"/>
        <w:contextualSpacing/>
        <w:jc w:val="both"/>
        <w:rPr>
          <w:rFonts w:ascii="Times New Roman" w:eastAsia="Calibri" w:hAnsi="Times New Roman" w:cs="Times New Roman"/>
          <w:b/>
          <w:bCs/>
          <w:i/>
          <w:color w:val="0D0D0D"/>
          <w:sz w:val="28"/>
          <w:szCs w:val="28"/>
        </w:rPr>
      </w:pPr>
    </w:p>
    <w:p w14:paraId="531765BA" w14:textId="77777777" w:rsidR="005605E9" w:rsidRPr="005605E9" w:rsidRDefault="005605E9" w:rsidP="005605E9">
      <w:pPr>
        <w:tabs>
          <w:tab w:val="left" w:pos="993"/>
        </w:tabs>
        <w:spacing w:after="0" w:line="240" w:lineRule="auto"/>
        <w:jc w:val="both"/>
        <w:rPr>
          <w:rFonts w:ascii="Times New Roman" w:eastAsia="Calibri" w:hAnsi="Times New Roman" w:cs="Times New Roman"/>
          <w:b/>
          <w:bCs/>
          <w:i/>
          <w:color w:val="0D0D0D"/>
          <w:sz w:val="28"/>
          <w:szCs w:val="28"/>
        </w:rPr>
      </w:pPr>
      <w:r w:rsidRPr="005605E9">
        <w:rPr>
          <w:rFonts w:ascii="Times New Roman" w:eastAsia="Calibri" w:hAnsi="Times New Roman" w:cs="Times New Roman"/>
          <w:b/>
          <w:bCs/>
          <w:i/>
          <w:color w:val="0D0D0D"/>
          <w:sz w:val="28"/>
          <w:szCs w:val="28"/>
        </w:rPr>
        <w:tab/>
        <w:t xml:space="preserve">Для формування наукової позиції </w:t>
      </w:r>
    </w:p>
    <w:p w14:paraId="43A67DE4" w14:textId="3E8BC775" w:rsidR="005605E9" w:rsidRPr="005605E9" w:rsidRDefault="005605E9" w:rsidP="005605E9">
      <w:pPr>
        <w:tabs>
          <w:tab w:val="left" w:pos="993"/>
        </w:tabs>
        <w:spacing w:after="0" w:line="240" w:lineRule="auto"/>
        <w:jc w:val="both"/>
        <w:rPr>
          <w:rFonts w:ascii="Times New Roman" w:eastAsia="Calibri" w:hAnsi="Times New Roman" w:cs="Times New Roman"/>
          <w:b/>
          <w:bCs/>
          <w:i/>
          <w:color w:val="0D0D0D"/>
          <w:sz w:val="28"/>
          <w:szCs w:val="28"/>
        </w:rPr>
      </w:pPr>
      <w:r w:rsidRPr="005605E9">
        <w:rPr>
          <w:rFonts w:ascii="Times New Roman" w:eastAsia="Calibri" w:hAnsi="Times New Roman" w:cs="Times New Roman"/>
          <w:b/>
          <w:bCs/>
          <w:i/>
          <w:color w:val="0D0D0D"/>
          <w:sz w:val="28"/>
          <w:szCs w:val="28"/>
        </w:rPr>
        <w:tab/>
        <w:t>було залучено представник</w:t>
      </w:r>
      <w:r w:rsidR="003669E1">
        <w:rPr>
          <w:rFonts w:ascii="Times New Roman" w:eastAsia="Calibri" w:hAnsi="Times New Roman" w:cs="Times New Roman"/>
          <w:b/>
          <w:bCs/>
          <w:i/>
          <w:color w:val="0D0D0D"/>
          <w:sz w:val="28"/>
          <w:szCs w:val="28"/>
        </w:rPr>
        <w:t>а</w:t>
      </w:r>
      <w:r w:rsidRPr="005605E9">
        <w:rPr>
          <w:rFonts w:ascii="Times New Roman" w:eastAsia="Calibri" w:hAnsi="Times New Roman" w:cs="Times New Roman"/>
          <w:b/>
          <w:bCs/>
          <w:i/>
          <w:color w:val="0D0D0D"/>
          <w:sz w:val="28"/>
          <w:szCs w:val="28"/>
        </w:rPr>
        <w:t xml:space="preserve"> </w:t>
      </w:r>
    </w:p>
    <w:p w14:paraId="65386E31" w14:textId="77777777" w:rsidR="005605E9" w:rsidRPr="005605E9" w:rsidRDefault="005605E9" w:rsidP="005605E9">
      <w:pPr>
        <w:tabs>
          <w:tab w:val="left" w:pos="993"/>
        </w:tabs>
        <w:spacing w:after="0" w:line="240" w:lineRule="auto"/>
        <w:jc w:val="both"/>
        <w:rPr>
          <w:rFonts w:ascii="Times New Roman" w:eastAsia="Calibri" w:hAnsi="Times New Roman" w:cs="Times New Roman"/>
          <w:b/>
          <w:bCs/>
          <w:i/>
          <w:color w:val="0D0D0D"/>
          <w:sz w:val="28"/>
          <w:szCs w:val="28"/>
        </w:rPr>
      </w:pPr>
      <w:r w:rsidRPr="005605E9">
        <w:rPr>
          <w:rFonts w:ascii="Times New Roman" w:eastAsia="Calibri" w:hAnsi="Times New Roman" w:cs="Times New Roman"/>
          <w:b/>
          <w:bCs/>
          <w:i/>
          <w:color w:val="0D0D0D"/>
          <w:sz w:val="28"/>
          <w:szCs w:val="28"/>
        </w:rPr>
        <w:tab/>
        <w:t>Лабораторії корпоративного права</w:t>
      </w:r>
    </w:p>
    <w:p w14:paraId="40E829E3" w14:textId="77777777" w:rsidR="005605E9" w:rsidRPr="005605E9" w:rsidRDefault="005605E9" w:rsidP="005605E9">
      <w:pPr>
        <w:tabs>
          <w:tab w:val="left" w:pos="993"/>
        </w:tabs>
        <w:spacing w:after="0" w:line="240" w:lineRule="auto"/>
        <w:jc w:val="both"/>
        <w:rPr>
          <w:rFonts w:ascii="Times New Roman" w:eastAsia="Calibri" w:hAnsi="Times New Roman" w:cs="Times New Roman"/>
          <w:b/>
          <w:bCs/>
          <w:i/>
          <w:color w:val="0D0D0D"/>
          <w:sz w:val="28"/>
          <w:szCs w:val="28"/>
        </w:rPr>
      </w:pPr>
      <w:r w:rsidRPr="005605E9">
        <w:rPr>
          <w:rFonts w:ascii="Times New Roman" w:eastAsia="Calibri" w:hAnsi="Times New Roman" w:cs="Times New Roman"/>
          <w:b/>
          <w:bCs/>
          <w:i/>
          <w:color w:val="0D0D0D"/>
          <w:sz w:val="28"/>
          <w:szCs w:val="28"/>
        </w:rPr>
        <w:tab/>
        <w:t xml:space="preserve">імені академіка Володимира </w:t>
      </w:r>
      <w:proofErr w:type="spellStart"/>
      <w:r w:rsidRPr="005605E9">
        <w:rPr>
          <w:rFonts w:ascii="Times New Roman" w:eastAsia="Calibri" w:hAnsi="Times New Roman" w:cs="Times New Roman"/>
          <w:b/>
          <w:bCs/>
          <w:i/>
          <w:color w:val="0D0D0D"/>
          <w:sz w:val="28"/>
          <w:szCs w:val="28"/>
        </w:rPr>
        <w:t>Луця</w:t>
      </w:r>
      <w:proofErr w:type="spellEnd"/>
    </w:p>
    <w:p w14:paraId="259BCC5F" w14:textId="77777777" w:rsidR="005605E9" w:rsidRPr="005605E9" w:rsidRDefault="005605E9" w:rsidP="005605E9">
      <w:pPr>
        <w:tabs>
          <w:tab w:val="left" w:pos="993"/>
        </w:tabs>
        <w:spacing w:after="0" w:line="240" w:lineRule="auto"/>
        <w:jc w:val="both"/>
        <w:rPr>
          <w:rFonts w:ascii="Times New Roman" w:eastAsia="Calibri" w:hAnsi="Times New Roman" w:cs="Times New Roman"/>
          <w:b/>
          <w:bCs/>
          <w:i/>
          <w:color w:val="0D0D0D"/>
          <w:sz w:val="28"/>
          <w:szCs w:val="28"/>
        </w:rPr>
      </w:pPr>
      <w:r w:rsidRPr="005605E9">
        <w:rPr>
          <w:rFonts w:ascii="Times New Roman" w:eastAsia="Calibri" w:hAnsi="Times New Roman" w:cs="Times New Roman"/>
          <w:b/>
          <w:bCs/>
          <w:i/>
          <w:color w:val="0D0D0D"/>
          <w:sz w:val="28"/>
          <w:szCs w:val="28"/>
        </w:rPr>
        <w:tab/>
        <w:t>НДІ приватного права і підприємництва</w:t>
      </w:r>
    </w:p>
    <w:p w14:paraId="64FC295B" w14:textId="77777777" w:rsidR="005605E9" w:rsidRPr="005605E9" w:rsidRDefault="005605E9" w:rsidP="005605E9">
      <w:pPr>
        <w:tabs>
          <w:tab w:val="left" w:pos="993"/>
        </w:tabs>
        <w:spacing w:after="0" w:line="240" w:lineRule="auto"/>
        <w:jc w:val="both"/>
        <w:rPr>
          <w:rFonts w:ascii="Times New Roman" w:eastAsia="Calibri" w:hAnsi="Times New Roman" w:cs="Times New Roman"/>
          <w:b/>
          <w:bCs/>
          <w:i/>
          <w:color w:val="0D0D0D"/>
          <w:sz w:val="28"/>
          <w:szCs w:val="28"/>
        </w:rPr>
      </w:pPr>
      <w:r w:rsidRPr="005605E9">
        <w:rPr>
          <w:rFonts w:ascii="Times New Roman" w:eastAsia="Calibri" w:hAnsi="Times New Roman" w:cs="Times New Roman"/>
          <w:b/>
          <w:bCs/>
          <w:i/>
          <w:color w:val="0D0D0D"/>
          <w:sz w:val="28"/>
          <w:szCs w:val="28"/>
        </w:rPr>
        <w:tab/>
        <w:t xml:space="preserve">ім. академіка Ф. Г. Бурчака </w:t>
      </w:r>
      <w:proofErr w:type="spellStart"/>
      <w:r w:rsidRPr="005605E9">
        <w:rPr>
          <w:rFonts w:ascii="Times New Roman" w:eastAsia="Calibri" w:hAnsi="Times New Roman" w:cs="Times New Roman"/>
          <w:b/>
          <w:bCs/>
          <w:i/>
          <w:color w:val="0D0D0D"/>
          <w:sz w:val="28"/>
          <w:szCs w:val="28"/>
        </w:rPr>
        <w:t>НАПрН</w:t>
      </w:r>
      <w:proofErr w:type="spellEnd"/>
      <w:r w:rsidRPr="005605E9">
        <w:rPr>
          <w:rFonts w:ascii="Times New Roman" w:eastAsia="Calibri" w:hAnsi="Times New Roman" w:cs="Times New Roman"/>
          <w:b/>
          <w:bCs/>
          <w:i/>
          <w:color w:val="0D0D0D"/>
          <w:sz w:val="28"/>
          <w:szCs w:val="28"/>
        </w:rPr>
        <w:t xml:space="preserve"> України</w:t>
      </w:r>
    </w:p>
    <w:p w14:paraId="38CB87E3" w14:textId="77777777" w:rsidR="005605E9" w:rsidRPr="005605E9" w:rsidRDefault="005605E9" w:rsidP="005605E9">
      <w:pPr>
        <w:tabs>
          <w:tab w:val="left" w:pos="993"/>
        </w:tabs>
        <w:spacing w:after="0" w:line="240" w:lineRule="auto"/>
        <w:ind w:left="720" w:firstLine="709"/>
        <w:contextualSpacing/>
        <w:jc w:val="both"/>
        <w:rPr>
          <w:rFonts w:ascii="Times New Roman" w:eastAsia="Calibri" w:hAnsi="Times New Roman" w:cs="Times New Roman"/>
          <w:b/>
          <w:bCs/>
          <w:i/>
          <w:color w:val="0D0D0D"/>
          <w:sz w:val="28"/>
          <w:szCs w:val="28"/>
        </w:rPr>
      </w:pPr>
    </w:p>
    <w:p w14:paraId="7328E4A8" w14:textId="77777777" w:rsidR="005605E9" w:rsidRPr="005605E9" w:rsidRDefault="005605E9" w:rsidP="005605E9">
      <w:pPr>
        <w:tabs>
          <w:tab w:val="left" w:pos="993"/>
        </w:tabs>
        <w:spacing w:after="0" w:line="240" w:lineRule="auto"/>
        <w:ind w:left="720"/>
        <w:contextualSpacing/>
        <w:jc w:val="both"/>
        <w:rPr>
          <w:rFonts w:ascii="Times New Roman" w:eastAsia="Calibri" w:hAnsi="Times New Roman" w:cs="Times New Roman"/>
          <w:b/>
          <w:bCs/>
          <w:i/>
          <w:sz w:val="28"/>
          <w:szCs w:val="28"/>
        </w:rPr>
      </w:pPr>
      <w:r w:rsidRPr="005605E9">
        <w:rPr>
          <w:rFonts w:ascii="Times New Roman" w:eastAsia="Calibri" w:hAnsi="Times New Roman" w:cs="Times New Roman"/>
          <w:b/>
          <w:bCs/>
          <w:i/>
          <w:sz w:val="28"/>
          <w:szCs w:val="28"/>
        </w:rPr>
        <w:tab/>
        <w:t xml:space="preserve">Головний науковий співробітник Лабораторії, </w:t>
      </w:r>
    </w:p>
    <w:p w14:paraId="02D8EF08" w14:textId="23439C18" w:rsidR="005605E9" w:rsidRPr="005605E9" w:rsidRDefault="005605E9" w:rsidP="005605E9">
      <w:pPr>
        <w:tabs>
          <w:tab w:val="left" w:pos="993"/>
        </w:tabs>
        <w:spacing w:after="0" w:line="240" w:lineRule="auto"/>
        <w:ind w:left="720"/>
        <w:contextualSpacing/>
        <w:jc w:val="both"/>
        <w:rPr>
          <w:rFonts w:ascii="Times New Roman" w:eastAsia="Calibri" w:hAnsi="Times New Roman" w:cs="Times New Roman"/>
          <w:b/>
          <w:bCs/>
          <w:i/>
          <w:sz w:val="28"/>
          <w:szCs w:val="28"/>
        </w:rPr>
      </w:pPr>
      <w:r w:rsidRPr="005605E9">
        <w:rPr>
          <w:rFonts w:ascii="Times New Roman" w:eastAsia="Calibri" w:hAnsi="Times New Roman" w:cs="Times New Roman"/>
          <w:b/>
          <w:bCs/>
          <w:i/>
          <w:sz w:val="28"/>
          <w:szCs w:val="28"/>
        </w:rPr>
        <w:tab/>
        <w:t xml:space="preserve">доктор юридичних наук, професор             </w:t>
      </w:r>
      <w:r w:rsidR="003669E1">
        <w:rPr>
          <w:rFonts w:ascii="Times New Roman" w:eastAsia="Calibri" w:hAnsi="Times New Roman" w:cs="Times New Roman"/>
          <w:b/>
          <w:bCs/>
          <w:i/>
          <w:sz w:val="28"/>
          <w:szCs w:val="28"/>
        </w:rPr>
        <w:t xml:space="preserve">                </w:t>
      </w:r>
      <w:r w:rsidRPr="005605E9">
        <w:rPr>
          <w:rFonts w:ascii="Times New Roman" w:eastAsia="Calibri" w:hAnsi="Times New Roman" w:cs="Times New Roman"/>
          <w:b/>
          <w:bCs/>
          <w:i/>
          <w:sz w:val="28"/>
          <w:szCs w:val="28"/>
        </w:rPr>
        <w:t xml:space="preserve">  О. І. Зозуляк </w:t>
      </w:r>
    </w:p>
    <w:p w14:paraId="7A25DF43" w14:textId="77777777" w:rsidR="008A44C1" w:rsidRDefault="008A44C1"/>
    <w:sectPr w:rsidR="008A44C1" w:rsidSect="003771B9">
      <w:headerReference w:type="default" r:id="rId12"/>
      <w:pgSz w:w="11906" w:h="16838"/>
      <w:pgMar w:top="1134" w:right="1274" w:bottom="1239" w:left="1276" w:header="283" w:footer="28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2CB8DC" w14:textId="77777777" w:rsidR="00D217EF" w:rsidRDefault="00D217EF" w:rsidP="005605E9">
      <w:pPr>
        <w:spacing w:after="0" w:line="240" w:lineRule="auto"/>
      </w:pPr>
      <w:r>
        <w:separator/>
      </w:r>
    </w:p>
  </w:endnote>
  <w:endnote w:type="continuationSeparator" w:id="0">
    <w:p w14:paraId="63165DFA" w14:textId="77777777" w:rsidR="00D217EF" w:rsidRDefault="00D217EF" w:rsidP="005605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207" w:usb1="08070000" w:usb2="00000010" w:usb3="00000000" w:csb0="00020007" w:csb1="00000000"/>
  </w:font>
  <w:font w:name="TimesNewRomanPS-ItalicMT">
    <w:altName w:val="Yu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AFD808" w14:textId="77777777" w:rsidR="00D217EF" w:rsidRDefault="00D217EF" w:rsidP="005605E9">
      <w:pPr>
        <w:spacing w:after="0" w:line="240" w:lineRule="auto"/>
      </w:pPr>
      <w:r>
        <w:separator/>
      </w:r>
    </w:p>
  </w:footnote>
  <w:footnote w:type="continuationSeparator" w:id="0">
    <w:p w14:paraId="6DDE73A7" w14:textId="77777777" w:rsidR="00D217EF" w:rsidRDefault="00D217EF" w:rsidP="005605E9">
      <w:pPr>
        <w:spacing w:after="0" w:line="240" w:lineRule="auto"/>
      </w:pPr>
      <w:r>
        <w:continuationSeparator/>
      </w:r>
    </w:p>
  </w:footnote>
  <w:footnote w:id="1">
    <w:p w14:paraId="5802AFD2" w14:textId="77777777" w:rsidR="005605E9" w:rsidRPr="005605E9" w:rsidRDefault="005605E9" w:rsidP="005605E9">
      <w:pPr>
        <w:pStyle w:val="a5"/>
        <w:ind w:firstLine="284"/>
        <w:jc w:val="both"/>
        <w:rPr>
          <w:color w:val="0D0D0D"/>
        </w:rPr>
      </w:pPr>
      <w:r w:rsidRPr="005605E9">
        <w:rPr>
          <w:rStyle w:val="a7"/>
          <w:color w:val="0D0D0D"/>
          <w:sz w:val="28"/>
          <w:szCs w:val="28"/>
        </w:rPr>
        <w:footnoteRef/>
      </w:r>
      <w:r w:rsidRPr="005605E9">
        <w:rPr>
          <w:color w:val="0D0D0D"/>
          <w:sz w:val="28"/>
          <w:szCs w:val="28"/>
        </w:rPr>
        <w:t xml:space="preserve"> </w:t>
      </w:r>
      <w:r w:rsidRPr="005605E9">
        <w:rPr>
          <w:color w:val="0D0D0D"/>
        </w:rPr>
        <w:t>Питання викладені у порядку, зручному для авторів надання висновку, а не у тому порядку як просив суддя-доповідач.</w:t>
      </w:r>
    </w:p>
  </w:footnote>
  <w:footnote w:id="2">
    <w:p w14:paraId="7A1FED5E" w14:textId="77777777" w:rsidR="005605E9" w:rsidRPr="005605E9" w:rsidRDefault="005605E9" w:rsidP="005605E9">
      <w:pPr>
        <w:spacing w:after="0" w:line="240" w:lineRule="auto"/>
        <w:ind w:firstLine="284"/>
        <w:jc w:val="both"/>
        <w:rPr>
          <w:rFonts w:ascii="Times New Roman" w:hAnsi="Times New Roman" w:cs="Times New Roman"/>
          <w:color w:val="0D0D0D"/>
          <w:sz w:val="20"/>
          <w:szCs w:val="20"/>
        </w:rPr>
      </w:pPr>
      <w:r w:rsidRPr="005605E9">
        <w:rPr>
          <w:rStyle w:val="a7"/>
          <w:rFonts w:ascii="Times New Roman" w:hAnsi="Times New Roman" w:cs="Times New Roman"/>
          <w:color w:val="0D0D0D"/>
          <w:sz w:val="20"/>
          <w:szCs w:val="20"/>
        </w:rPr>
        <w:footnoteRef/>
      </w:r>
      <w:r w:rsidRPr="005605E9">
        <w:rPr>
          <w:rFonts w:ascii="Times New Roman" w:hAnsi="Times New Roman" w:cs="Times New Roman"/>
          <w:color w:val="0D0D0D"/>
          <w:sz w:val="20"/>
          <w:szCs w:val="20"/>
        </w:rPr>
        <w:t xml:space="preserve"> </w:t>
      </w:r>
      <w:r w:rsidRPr="005605E9">
        <w:rPr>
          <w:rFonts w:ascii="Times New Roman" w:hAnsi="Times New Roman" w:cs="Times New Roman"/>
          <w:bCs/>
          <w:color w:val="0D0D0D"/>
          <w:sz w:val="20"/>
          <w:szCs w:val="20"/>
          <w:lang w:eastAsia="uk-UA" w:bidi="uk-UA"/>
        </w:rPr>
        <w:t>Банний І. В.</w:t>
      </w:r>
      <w:r w:rsidRPr="005605E9">
        <w:rPr>
          <w:rFonts w:ascii="Times New Roman" w:hAnsi="Times New Roman" w:cs="Times New Roman"/>
          <w:b/>
          <w:bCs/>
          <w:color w:val="0D0D0D"/>
          <w:sz w:val="20"/>
          <w:szCs w:val="20"/>
          <w:lang w:eastAsia="uk-UA" w:bidi="uk-UA"/>
        </w:rPr>
        <w:t xml:space="preserve"> </w:t>
      </w:r>
      <w:r w:rsidRPr="005605E9">
        <w:rPr>
          <w:rFonts w:ascii="Times New Roman" w:hAnsi="Times New Roman" w:cs="Times New Roman"/>
          <w:color w:val="0D0D0D"/>
          <w:sz w:val="20"/>
          <w:szCs w:val="20"/>
          <w:lang w:eastAsia="uk-UA" w:bidi="uk-UA"/>
        </w:rPr>
        <w:t xml:space="preserve">Теоретичні підходи до розуміння заборони політичних партій і громадських організацій як вияву войовничої демократії. </w:t>
      </w:r>
      <w:r w:rsidRPr="005605E9">
        <w:rPr>
          <w:rFonts w:ascii="Times New Roman" w:eastAsia="Arial" w:hAnsi="Times New Roman" w:cs="Times New Roman"/>
          <w:color w:val="0D0D0D"/>
          <w:sz w:val="20"/>
          <w:szCs w:val="20"/>
          <w:lang w:eastAsia="uk-UA" w:bidi="uk-UA"/>
        </w:rPr>
        <w:t xml:space="preserve">Часопис Київського університету права. 2023/1. С.  49 – 53. </w:t>
      </w:r>
      <w:r w:rsidRPr="005605E9">
        <w:rPr>
          <w:rFonts w:ascii="Times New Roman" w:hAnsi="Times New Roman" w:cs="Times New Roman"/>
          <w:color w:val="0D0D0D"/>
          <w:sz w:val="20"/>
          <w:szCs w:val="20"/>
          <w:lang w:val="en-US" w:bidi="en-US"/>
        </w:rPr>
        <w:t xml:space="preserve">DOI: </w:t>
      </w:r>
      <w:r w:rsidRPr="005605E9">
        <w:rPr>
          <w:rFonts w:ascii="Times New Roman" w:hAnsi="Times New Roman" w:cs="Times New Roman"/>
          <w:color w:val="0D0D0D"/>
          <w:sz w:val="20"/>
          <w:szCs w:val="20"/>
          <w:lang w:eastAsia="uk-UA" w:bidi="uk-UA"/>
        </w:rPr>
        <w:t>10.36695/2219-5521.1.2023.09 (С. 49)</w:t>
      </w:r>
    </w:p>
  </w:footnote>
  <w:footnote w:id="3">
    <w:p w14:paraId="35E2266F" w14:textId="77777777" w:rsidR="005605E9" w:rsidRPr="005605E9" w:rsidRDefault="005605E9" w:rsidP="005605E9">
      <w:pPr>
        <w:pStyle w:val="20"/>
        <w:shd w:val="clear" w:color="auto" w:fill="auto"/>
        <w:tabs>
          <w:tab w:val="left" w:pos="805"/>
        </w:tabs>
        <w:spacing w:line="240" w:lineRule="auto"/>
        <w:ind w:firstLine="284"/>
        <w:rPr>
          <w:color w:val="0D0D0D"/>
          <w:sz w:val="20"/>
          <w:szCs w:val="20"/>
        </w:rPr>
      </w:pPr>
      <w:r w:rsidRPr="005605E9">
        <w:rPr>
          <w:rStyle w:val="a7"/>
          <w:color w:val="0D0D0D"/>
          <w:sz w:val="20"/>
          <w:szCs w:val="20"/>
        </w:rPr>
        <w:footnoteRef/>
      </w:r>
      <w:r w:rsidRPr="005605E9">
        <w:rPr>
          <w:color w:val="0D0D0D"/>
          <w:sz w:val="20"/>
          <w:szCs w:val="20"/>
        </w:rPr>
        <w:t xml:space="preserve"> </w:t>
      </w:r>
      <w:r w:rsidRPr="005605E9">
        <w:rPr>
          <w:color w:val="0D0D0D"/>
          <w:sz w:val="20"/>
          <w:szCs w:val="20"/>
          <w:lang w:eastAsia="uk-UA" w:bidi="uk-UA"/>
        </w:rPr>
        <w:t xml:space="preserve">Савчин М. Порівняльне конституційне право. Київ: Ваіте, </w:t>
      </w:r>
      <w:r w:rsidRPr="005605E9">
        <w:rPr>
          <w:color w:val="0D0D0D"/>
          <w:sz w:val="20"/>
          <w:szCs w:val="20"/>
          <w:lang w:val="en-US" w:bidi="en-US"/>
        </w:rPr>
        <w:t>2020. 328 c</w:t>
      </w:r>
      <w:r w:rsidRPr="005605E9">
        <w:rPr>
          <w:color w:val="0D0D0D"/>
          <w:sz w:val="20"/>
          <w:szCs w:val="20"/>
          <w:lang w:bidi="en-US"/>
        </w:rPr>
        <w:t>.</w:t>
      </w:r>
      <w:r w:rsidRPr="005605E9">
        <w:rPr>
          <w:color w:val="0D0D0D"/>
          <w:sz w:val="20"/>
          <w:szCs w:val="20"/>
          <w:lang w:val="en-US" w:bidi="en-US"/>
        </w:rPr>
        <w:t xml:space="preserve"> – </w:t>
      </w:r>
      <w:r w:rsidRPr="005605E9">
        <w:rPr>
          <w:color w:val="0D0D0D"/>
          <w:sz w:val="20"/>
          <w:szCs w:val="20"/>
          <w:lang w:eastAsia="uk-UA" w:bidi="uk-UA"/>
        </w:rPr>
        <w:t xml:space="preserve">С. </w:t>
      </w:r>
      <w:r w:rsidRPr="005605E9">
        <w:rPr>
          <w:color w:val="0D0D0D"/>
          <w:sz w:val="20"/>
          <w:szCs w:val="20"/>
          <w:lang w:val="en-US" w:bidi="en-US"/>
        </w:rPr>
        <w:t>77.</w:t>
      </w:r>
      <w:r w:rsidRPr="005605E9">
        <w:rPr>
          <w:color w:val="0D0D0D"/>
          <w:sz w:val="20"/>
          <w:szCs w:val="20"/>
          <w:lang w:bidi="en-US"/>
        </w:rPr>
        <w:t xml:space="preserve"> </w:t>
      </w:r>
    </w:p>
  </w:footnote>
  <w:footnote w:id="4">
    <w:p w14:paraId="3FE950C2" w14:textId="77777777" w:rsidR="005605E9" w:rsidRPr="005605E9" w:rsidRDefault="005605E9" w:rsidP="005605E9">
      <w:pPr>
        <w:spacing w:after="0" w:line="240" w:lineRule="auto"/>
        <w:ind w:firstLine="284"/>
        <w:jc w:val="both"/>
        <w:rPr>
          <w:rFonts w:ascii="Times New Roman" w:hAnsi="Times New Roman" w:cs="Times New Roman"/>
          <w:color w:val="0D0D0D"/>
          <w:sz w:val="20"/>
          <w:szCs w:val="20"/>
          <w:lang w:val="en-US"/>
        </w:rPr>
      </w:pPr>
      <w:r w:rsidRPr="005605E9">
        <w:rPr>
          <w:rStyle w:val="a7"/>
          <w:rFonts w:ascii="Times New Roman" w:hAnsi="Times New Roman" w:cs="Times New Roman"/>
          <w:color w:val="0D0D0D"/>
          <w:sz w:val="20"/>
          <w:szCs w:val="20"/>
        </w:rPr>
        <w:footnoteRef/>
      </w:r>
      <w:r w:rsidRPr="005605E9">
        <w:rPr>
          <w:rFonts w:ascii="Times New Roman" w:hAnsi="Times New Roman" w:cs="Times New Roman"/>
          <w:color w:val="0D0D0D"/>
          <w:sz w:val="20"/>
          <w:szCs w:val="20"/>
        </w:rPr>
        <w:t xml:space="preserve"> </w:t>
      </w:r>
      <w:r w:rsidRPr="005605E9">
        <w:rPr>
          <w:rFonts w:ascii="Times New Roman" w:hAnsi="Times New Roman" w:cs="Times New Roman"/>
          <w:bCs/>
          <w:color w:val="0D0D0D"/>
          <w:sz w:val="20"/>
          <w:szCs w:val="20"/>
          <w:lang w:eastAsia="uk-UA" w:bidi="uk-UA"/>
        </w:rPr>
        <w:t>Банний І. В.</w:t>
      </w:r>
      <w:r w:rsidRPr="005605E9">
        <w:rPr>
          <w:rFonts w:ascii="Times New Roman" w:hAnsi="Times New Roman" w:cs="Times New Roman"/>
          <w:b/>
          <w:bCs/>
          <w:color w:val="0D0D0D"/>
          <w:sz w:val="20"/>
          <w:szCs w:val="20"/>
          <w:lang w:eastAsia="uk-UA" w:bidi="uk-UA"/>
        </w:rPr>
        <w:t xml:space="preserve"> </w:t>
      </w:r>
      <w:r w:rsidRPr="005605E9">
        <w:rPr>
          <w:rFonts w:ascii="Times New Roman" w:hAnsi="Times New Roman" w:cs="Times New Roman"/>
          <w:color w:val="0D0D0D"/>
          <w:sz w:val="20"/>
          <w:szCs w:val="20"/>
          <w:lang w:eastAsia="uk-UA" w:bidi="uk-UA"/>
        </w:rPr>
        <w:t xml:space="preserve">Теоретичні підходи до розуміння заборони політичних партій і громадських організацій як вияву войовничої демократії. </w:t>
      </w:r>
      <w:r w:rsidRPr="005605E9">
        <w:rPr>
          <w:rFonts w:ascii="Times New Roman" w:eastAsia="Arial" w:hAnsi="Times New Roman" w:cs="Times New Roman"/>
          <w:color w:val="0D0D0D"/>
          <w:sz w:val="20"/>
          <w:szCs w:val="20"/>
          <w:lang w:eastAsia="uk-UA" w:bidi="uk-UA"/>
        </w:rPr>
        <w:t xml:space="preserve">Часопис Київського університету права. 2023/1. С.  49 – 53. </w:t>
      </w:r>
      <w:r w:rsidRPr="005605E9">
        <w:rPr>
          <w:rFonts w:ascii="Times New Roman" w:hAnsi="Times New Roman" w:cs="Times New Roman"/>
          <w:color w:val="0D0D0D"/>
          <w:sz w:val="20"/>
          <w:szCs w:val="20"/>
          <w:lang w:val="en-US" w:bidi="en-US"/>
        </w:rPr>
        <w:t xml:space="preserve">DOI: </w:t>
      </w:r>
      <w:r w:rsidRPr="005605E9">
        <w:rPr>
          <w:rFonts w:ascii="Times New Roman" w:hAnsi="Times New Roman" w:cs="Times New Roman"/>
          <w:color w:val="0D0D0D"/>
          <w:sz w:val="20"/>
          <w:szCs w:val="20"/>
          <w:lang w:eastAsia="uk-UA" w:bidi="uk-UA"/>
        </w:rPr>
        <w:t>10.36695/2219-5521.1.2023.09. – С. 50.</w:t>
      </w:r>
    </w:p>
  </w:footnote>
  <w:footnote w:id="5">
    <w:p w14:paraId="74CBF38C" w14:textId="77777777" w:rsidR="005605E9" w:rsidRPr="005605E9" w:rsidRDefault="005605E9" w:rsidP="005605E9">
      <w:pPr>
        <w:spacing w:after="0" w:line="240" w:lineRule="auto"/>
        <w:ind w:firstLine="284"/>
        <w:jc w:val="both"/>
        <w:rPr>
          <w:rFonts w:ascii="Times New Roman" w:hAnsi="Times New Roman" w:cs="Times New Roman"/>
          <w:color w:val="0D0D0D"/>
          <w:sz w:val="20"/>
          <w:szCs w:val="20"/>
        </w:rPr>
      </w:pPr>
      <w:r w:rsidRPr="005605E9">
        <w:rPr>
          <w:rStyle w:val="a7"/>
          <w:rFonts w:ascii="Times New Roman" w:hAnsi="Times New Roman" w:cs="Times New Roman"/>
          <w:color w:val="0D0D0D"/>
          <w:sz w:val="20"/>
          <w:szCs w:val="20"/>
        </w:rPr>
        <w:footnoteRef/>
      </w:r>
      <w:r w:rsidRPr="005605E9">
        <w:rPr>
          <w:rFonts w:ascii="Times New Roman" w:hAnsi="Times New Roman" w:cs="Times New Roman"/>
          <w:color w:val="0D0D0D"/>
          <w:sz w:val="20"/>
          <w:szCs w:val="20"/>
        </w:rPr>
        <w:t xml:space="preserve"> Щербанюк О.В., Кобрин В.С. Заборона політичних партій в умовах воєнного стану. Юридичний електронний журнал. 2023. № 1. С. 693 – 695. DOI </w:t>
      </w:r>
      <w:hyperlink r:id="rId1" w:history="1">
        <w:r w:rsidRPr="005605E9">
          <w:rPr>
            <w:rStyle w:val="a9"/>
            <w:rFonts w:ascii="Times New Roman" w:hAnsi="Times New Roman" w:cs="Times New Roman"/>
            <w:color w:val="0D0D0D"/>
            <w:sz w:val="20"/>
            <w:szCs w:val="20"/>
          </w:rPr>
          <w:t>https://doi.org/10.32782/2524-0374/2023-1/165</w:t>
        </w:r>
      </w:hyperlink>
      <w:r w:rsidRPr="005605E9">
        <w:rPr>
          <w:rFonts w:ascii="Times New Roman" w:hAnsi="Times New Roman" w:cs="Times New Roman"/>
          <w:color w:val="0D0D0D"/>
          <w:sz w:val="20"/>
          <w:szCs w:val="20"/>
        </w:rPr>
        <w:t xml:space="preserve"> – С. 694.</w:t>
      </w:r>
    </w:p>
  </w:footnote>
  <w:footnote w:id="6">
    <w:p w14:paraId="4F4B303A" w14:textId="77777777" w:rsidR="005605E9" w:rsidRPr="005605E9" w:rsidRDefault="005605E9" w:rsidP="005605E9">
      <w:pPr>
        <w:spacing w:after="0" w:line="240" w:lineRule="auto"/>
        <w:ind w:firstLine="284"/>
        <w:jc w:val="both"/>
        <w:rPr>
          <w:rFonts w:ascii="Times New Roman" w:hAnsi="Times New Roman" w:cs="Times New Roman"/>
          <w:color w:val="0D0D0D"/>
          <w:sz w:val="20"/>
          <w:szCs w:val="20"/>
        </w:rPr>
      </w:pPr>
      <w:r w:rsidRPr="005605E9">
        <w:rPr>
          <w:rStyle w:val="a7"/>
          <w:rFonts w:ascii="Times New Roman" w:hAnsi="Times New Roman" w:cs="Times New Roman"/>
          <w:color w:val="0D0D0D"/>
          <w:sz w:val="20"/>
          <w:szCs w:val="20"/>
        </w:rPr>
        <w:footnoteRef/>
      </w:r>
      <w:r w:rsidRPr="005605E9">
        <w:rPr>
          <w:rFonts w:ascii="Times New Roman" w:hAnsi="Times New Roman" w:cs="Times New Roman"/>
          <w:color w:val="0D0D0D"/>
          <w:sz w:val="20"/>
          <w:szCs w:val="20"/>
        </w:rPr>
        <w:t xml:space="preserve"> Щербанюк О.В., Кобрин В.С. Заборона політичних партій в умовах воєнного стану. Юридичний електронний журнал. 2023. № 1. С. 693 – 695. DOI </w:t>
      </w:r>
      <w:hyperlink r:id="rId2" w:history="1">
        <w:r w:rsidRPr="005605E9">
          <w:rPr>
            <w:rStyle w:val="a9"/>
            <w:rFonts w:ascii="Times New Roman" w:hAnsi="Times New Roman" w:cs="Times New Roman"/>
            <w:color w:val="0D0D0D"/>
            <w:sz w:val="20"/>
            <w:szCs w:val="20"/>
          </w:rPr>
          <w:t>https://doi.org/10.32782/2524-0374/2023-1/165</w:t>
        </w:r>
      </w:hyperlink>
      <w:r w:rsidRPr="005605E9">
        <w:rPr>
          <w:rFonts w:ascii="Times New Roman" w:hAnsi="Times New Roman" w:cs="Times New Roman"/>
          <w:color w:val="0D0D0D"/>
          <w:sz w:val="20"/>
          <w:szCs w:val="20"/>
        </w:rPr>
        <w:t xml:space="preserve"> –  С. 694.</w:t>
      </w:r>
    </w:p>
  </w:footnote>
  <w:footnote w:id="7">
    <w:p w14:paraId="12861058" w14:textId="77777777" w:rsidR="005605E9" w:rsidRPr="005605E9" w:rsidRDefault="005605E9" w:rsidP="005605E9">
      <w:pPr>
        <w:pStyle w:val="a5"/>
        <w:ind w:firstLine="284"/>
        <w:jc w:val="both"/>
        <w:rPr>
          <w:color w:val="0D0D0D"/>
        </w:rPr>
      </w:pPr>
      <w:r w:rsidRPr="005605E9">
        <w:rPr>
          <w:rStyle w:val="a7"/>
          <w:color w:val="0D0D0D"/>
        </w:rPr>
        <w:footnoteRef/>
      </w:r>
      <w:r w:rsidRPr="005605E9">
        <w:rPr>
          <w:color w:val="0D0D0D"/>
        </w:rPr>
        <w:t xml:space="preserve"> </w:t>
      </w:r>
      <w:bookmarkStart w:id="6" w:name="_Ref2328073"/>
      <w:r w:rsidRPr="005605E9">
        <w:rPr>
          <w:color w:val="0D0D0D"/>
          <w:spacing w:val="-3"/>
        </w:rPr>
        <w:t>Смолянюк В. Ф. Національні інтереси України як «вища математика» державотворчого мислення. Вісник Національної юридичної академії України імені Ярослава Мудрого. 2010. № 3. С. 176–181.</w:t>
      </w:r>
      <w:bookmarkEnd w:id="6"/>
      <w:r w:rsidRPr="005605E9">
        <w:rPr>
          <w:color w:val="0D0D0D"/>
          <w:spacing w:val="-3"/>
        </w:rPr>
        <w:t xml:space="preserve"> – С. 177.</w:t>
      </w:r>
    </w:p>
  </w:footnote>
  <w:footnote w:id="8">
    <w:p w14:paraId="3C2DA954" w14:textId="77777777" w:rsidR="005605E9" w:rsidRPr="005605E9" w:rsidRDefault="005605E9" w:rsidP="005605E9">
      <w:pPr>
        <w:pStyle w:val="a5"/>
        <w:ind w:firstLine="284"/>
        <w:jc w:val="both"/>
        <w:rPr>
          <w:color w:val="0D0D0D"/>
        </w:rPr>
      </w:pPr>
      <w:r w:rsidRPr="005605E9">
        <w:rPr>
          <w:rStyle w:val="a7"/>
          <w:color w:val="0D0D0D"/>
        </w:rPr>
        <w:footnoteRef/>
      </w:r>
      <w:r w:rsidRPr="005605E9">
        <w:rPr>
          <w:color w:val="0D0D0D"/>
        </w:rPr>
        <w:t xml:space="preserve"> Берестова І. Е. Захист публічних інтересів учасників цивільних відносин: взаємозвʼязок цивільного судочинства та конституційного провадження. Дис…докт.юрид.наук.:12.00.02+12.00.03. К. 2019. 510 с. – С. 164</w:t>
      </w:r>
    </w:p>
  </w:footnote>
  <w:footnote w:id="9">
    <w:p w14:paraId="3EC5DF8C" w14:textId="77777777" w:rsidR="005605E9" w:rsidRPr="005605E9" w:rsidRDefault="005605E9" w:rsidP="005605E9">
      <w:pPr>
        <w:widowControl w:val="0"/>
        <w:autoSpaceDE w:val="0"/>
        <w:autoSpaceDN w:val="0"/>
        <w:adjustRightInd w:val="0"/>
        <w:spacing w:after="0" w:line="240" w:lineRule="auto"/>
        <w:ind w:firstLine="284"/>
        <w:jc w:val="both"/>
        <w:rPr>
          <w:rFonts w:ascii="Times New Roman" w:hAnsi="Times New Roman" w:cs="Times New Roman"/>
          <w:color w:val="0D0D0D"/>
          <w:sz w:val="20"/>
          <w:szCs w:val="20"/>
        </w:rPr>
      </w:pPr>
      <w:r w:rsidRPr="005605E9">
        <w:rPr>
          <w:rStyle w:val="a7"/>
          <w:rFonts w:ascii="Times New Roman" w:hAnsi="Times New Roman" w:cs="Times New Roman"/>
          <w:color w:val="0D0D0D"/>
          <w:sz w:val="20"/>
          <w:szCs w:val="20"/>
        </w:rPr>
        <w:footnoteRef/>
      </w:r>
      <w:r w:rsidRPr="005605E9">
        <w:rPr>
          <w:rFonts w:ascii="Times New Roman" w:hAnsi="Times New Roman" w:cs="Times New Roman"/>
          <w:color w:val="0D0D0D"/>
          <w:sz w:val="20"/>
          <w:szCs w:val="20"/>
        </w:rPr>
        <w:t xml:space="preserve"> Рішення Конституційного Суду України у справі </w:t>
      </w:r>
      <w:r w:rsidRPr="005605E9">
        <w:rPr>
          <w:rFonts w:ascii="Times New Roman" w:hAnsi="Times New Roman" w:cs="Times New Roman"/>
          <w:bCs/>
          <w:color w:val="0D0D0D"/>
          <w:sz w:val="20"/>
          <w:szCs w:val="20"/>
        </w:rPr>
        <w:t xml:space="preserve">у справі за конституційними поданнями Вищого арбітражного суду України та Генеральної прокуратури України щодо офіційного тлумачення положень статті 2 Арбітражного процесуального кодексу України (справа про представництво прокуратурою України інтересів держави в арбітражному суді) </w:t>
      </w:r>
      <w:r w:rsidRPr="005605E9">
        <w:rPr>
          <w:rFonts w:ascii="Times New Roman" w:hAnsi="Times New Roman" w:cs="Times New Roman"/>
          <w:color w:val="0D0D0D"/>
          <w:sz w:val="20"/>
          <w:szCs w:val="20"/>
        </w:rPr>
        <w:t xml:space="preserve"> </w:t>
      </w:r>
      <w:r w:rsidRPr="005605E9">
        <w:rPr>
          <w:rFonts w:ascii="Times New Roman" w:hAnsi="Times New Roman" w:cs="Times New Roman"/>
          <w:bCs/>
          <w:iCs/>
          <w:color w:val="0D0D0D"/>
          <w:sz w:val="20"/>
          <w:szCs w:val="20"/>
        </w:rPr>
        <w:t xml:space="preserve">№ 3-рп/998 квітня 1999 року. </w:t>
      </w:r>
      <w:r w:rsidRPr="005605E9">
        <w:rPr>
          <w:rFonts w:ascii="Times New Roman" w:hAnsi="Times New Roman" w:cs="Times New Roman"/>
          <w:bCs/>
          <w:iCs/>
          <w:color w:val="0D0D0D"/>
          <w:sz w:val="20"/>
          <w:szCs w:val="20"/>
          <w:lang w:val="en-US"/>
        </w:rPr>
        <w:t xml:space="preserve">URL: https://zakon.rada.gov.ua/laws/show/v003p710-99#Text </w:t>
      </w:r>
    </w:p>
  </w:footnote>
  <w:footnote w:id="10">
    <w:p w14:paraId="481DC424" w14:textId="77777777" w:rsidR="005605E9" w:rsidRPr="005605E9" w:rsidRDefault="005605E9" w:rsidP="005605E9">
      <w:pPr>
        <w:pStyle w:val="12"/>
        <w:shd w:val="clear" w:color="auto" w:fill="auto"/>
        <w:spacing w:line="240" w:lineRule="auto"/>
        <w:ind w:firstLine="284"/>
        <w:rPr>
          <w:rFonts w:ascii="Times New Roman" w:hAnsi="Times New Roman" w:cs="Times New Roman"/>
          <w:color w:val="0D0D0D"/>
        </w:rPr>
      </w:pPr>
      <w:r w:rsidRPr="005605E9">
        <w:rPr>
          <w:rStyle w:val="a7"/>
          <w:rFonts w:ascii="Times New Roman" w:hAnsi="Times New Roman" w:cs="Times New Roman"/>
          <w:color w:val="0D0D0D"/>
        </w:rPr>
        <w:footnoteRef/>
      </w:r>
      <w:r w:rsidRPr="005605E9">
        <w:rPr>
          <w:rFonts w:ascii="Times New Roman" w:hAnsi="Times New Roman" w:cs="Times New Roman"/>
          <w:color w:val="0D0D0D"/>
        </w:rPr>
        <w:t xml:space="preserve"> </w:t>
      </w:r>
      <w:r w:rsidRPr="005605E9">
        <w:rPr>
          <w:rFonts w:ascii="Times New Roman" w:hAnsi="Times New Roman" w:cs="Times New Roman"/>
          <w:bCs/>
          <w:iCs/>
          <w:color w:val="0D0D0D"/>
        </w:rPr>
        <w:t xml:space="preserve">Кубко А. Є. </w:t>
      </w:r>
      <w:bookmarkStart w:id="8" w:name="bookmark0"/>
      <w:r w:rsidRPr="005605E9">
        <w:rPr>
          <w:rFonts w:ascii="Times New Roman" w:hAnsi="Times New Roman" w:cs="Times New Roman"/>
          <w:color w:val="0D0D0D"/>
        </w:rPr>
        <w:t>Державні інтереси у правовій системі україни: деякі теоретичні питання</w:t>
      </w:r>
      <w:bookmarkEnd w:id="8"/>
      <w:r w:rsidRPr="005605E9">
        <w:rPr>
          <w:rFonts w:ascii="Times New Roman" w:hAnsi="Times New Roman" w:cs="Times New Roman"/>
          <w:color w:val="0D0D0D"/>
        </w:rPr>
        <w:t xml:space="preserve">. Держава та регіони. </w:t>
      </w:r>
      <w:r w:rsidRPr="005605E9">
        <w:rPr>
          <w:rFonts w:ascii="Times New Roman" w:hAnsi="Times New Roman" w:cs="Times New Roman"/>
          <w:bCs/>
          <w:color w:val="0D0D0D"/>
        </w:rPr>
        <w:t xml:space="preserve">Серія: Право, </w:t>
      </w:r>
      <w:r w:rsidRPr="005605E9">
        <w:rPr>
          <w:rFonts w:ascii="Times New Roman" w:hAnsi="Times New Roman" w:cs="Times New Roman"/>
          <w:bCs/>
          <w:color w:val="0D0D0D"/>
          <w:lang w:val="en-US" w:bidi="en-US"/>
        </w:rPr>
        <w:t xml:space="preserve">2020 </w:t>
      </w:r>
      <w:r w:rsidRPr="005605E9">
        <w:rPr>
          <w:rFonts w:ascii="Times New Roman" w:hAnsi="Times New Roman" w:cs="Times New Roman"/>
          <w:bCs/>
          <w:color w:val="0D0D0D"/>
        </w:rPr>
        <w:t xml:space="preserve">р., </w:t>
      </w:r>
      <w:r w:rsidRPr="005605E9">
        <w:rPr>
          <w:rFonts w:ascii="Times New Roman" w:hAnsi="Times New Roman" w:cs="Times New Roman"/>
          <w:bCs/>
          <w:color w:val="0D0D0D"/>
          <w:lang w:val="en-US" w:bidi="en-US"/>
        </w:rPr>
        <w:t>№ 2 (68)</w:t>
      </w:r>
      <w:r w:rsidRPr="005605E9">
        <w:rPr>
          <w:rFonts w:ascii="Times New Roman" w:hAnsi="Times New Roman" w:cs="Times New Roman"/>
          <w:bCs/>
          <w:color w:val="0D0D0D"/>
          <w:lang w:bidi="en-US"/>
        </w:rPr>
        <w:t xml:space="preserve">. С. 14 – 19. (с. 17). </w:t>
      </w:r>
      <w:r w:rsidRPr="005605E9">
        <w:rPr>
          <w:rFonts w:ascii="Times New Roman" w:hAnsi="Times New Roman" w:cs="Times New Roman"/>
          <w:bCs/>
          <w:color w:val="0D0D0D"/>
          <w:lang w:val="en-US" w:bidi="en-US"/>
        </w:rPr>
        <w:t xml:space="preserve">DOI </w:t>
      </w:r>
      <w:hyperlink r:id="rId3" w:history="1">
        <w:r w:rsidRPr="005605E9">
          <w:rPr>
            <w:rFonts w:ascii="Times New Roman" w:hAnsi="Times New Roman" w:cs="Times New Roman"/>
            <w:bCs/>
            <w:color w:val="0D0D0D"/>
            <w:lang w:val="en-US" w:bidi="en-US"/>
          </w:rPr>
          <w:t>https://doi.org/10.32840/1813-338X-2020.2.2</w:t>
        </w:r>
      </w:hyperlink>
      <w:r w:rsidRPr="005605E9">
        <w:rPr>
          <w:rFonts w:ascii="Times New Roman" w:hAnsi="Times New Roman" w:cs="Times New Roman"/>
          <w:bCs/>
          <w:color w:val="0D0D0D"/>
          <w:lang w:bidi="en-US"/>
        </w:rPr>
        <w:t xml:space="preserve"> </w:t>
      </w:r>
    </w:p>
  </w:footnote>
  <w:footnote w:id="11">
    <w:p w14:paraId="38FA8174" w14:textId="77777777" w:rsidR="005605E9" w:rsidRPr="005605E9" w:rsidRDefault="005605E9" w:rsidP="005605E9">
      <w:pPr>
        <w:shd w:val="clear" w:color="auto" w:fill="FFFFFF"/>
        <w:spacing w:after="0" w:line="240" w:lineRule="auto"/>
        <w:ind w:right="-1" w:firstLine="284"/>
        <w:jc w:val="both"/>
        <w:rPr>
          <w:rFonts w:ascii="Times New Roman" w:hAnsi="Times New Roman" w:cs="Times New Roman"/>
          <w:color w:val="0D0D0D"/>
          <w:sz w:val="20"/>
          <w:szCs w:val="20"/>
          <w:lang w:val="en-US"/>
        </w:rPr>
      </w:pPr>
      <w:r w:rsidRPr="005605E9">
        <w:rPr>
          <w:rStyle w:val="a7"/>
          <w:rFonts w:ascii="Times New Roman" w:hAnsi="Times New Roman" w:cs="Times New Roman"/>
          <w:color w:val="0D0D0D"/>
          <w:sz w:val="20"/>
          <w:szCs w:val="20"/>
        </w:rPr>
        <w:footnoteRef/>
      </w:r>
      <w:r w:rsidRPr="005605E9">
        <w:rPr>
          <w:rFonts w:ascii="Times New Roman" w:hAnsi="Times New Roman" w:cs="Times New Roman"/>
          <w:color w:val="0D0D0D"/>
          <w:sz w:val="20"/>
          <w:szCs w:val="20"/>
        </w:rPr>
        <w:t xml:space="preserve"> </w:t>
      </w:r>
      <w:r w:rsidRPr="005605E9">
        <w:rPr>
          <w:rFonts w:ascii="Times New Roman" w:hAnsi="Times New Roman" w:cs="Times New Roman"/>
          <w:b/>
          <w:bCs/>
          <w:color w:val="0D0D0D"/>
          <w:sz w:val="20"/>
          <w:szCs w:val="20"/>
        </w:rPr>
        <w:t>Частина четверта статті 21</w:t>
      </w:r>
      <w:r w:rsidRPr="005605E9">
        <w:rPr>
          <w:rFonts w:ascii="Times New Roman" w:hAnsi="Times New Roman" w:cs="Times New Roman"/>
          <w:color w:val="0D0D0D"/>
          <w:sz w:val="20"/>
          <w:szCs w:val="20"/>
        </w:rPr>
        <w:t xml:space="preserve"> </w:t>
      </w:r>
      <w:r w:rsidRPr="005605E9">
        <w:rPr>
          <w:rFonts w:ascii="Times New Roman" w:hAnsi="Times New Roman" w:cs="Times New Roman"/>
          <w:b/>
          <w:bCs/>
          <w:color w:val="0D0D0D"/>
          <w:sz w:val="20"/>
          <w:szCs w:val="20"/>
        </w:rPr>
        <w:t xml:space="preserve">станом на момент прийняття </w:t>
      </w:r>
      <w:r w:rsidRPr="005605E9">
        <w:rPr>
          <w:rFonts w:ascii="Times New Roman" w:hAnsi="Times New Roman" w:cs="Times New Roman"/>
          <w:color w:val="0D0D0D"/>
          <w:sz w:val="20"/>
          <w:szCs w:val="20"/>
        </w:rPr>
        <w:t>Постанови Кабінету Міністрів України «</w:t>
      </w:r>
      <w:r w:rsidRPr="005605E9">
        <w:rPr>
          <w:rFonts w:ascii="Times New Roman" w:eastAsia="Times New Roman" w:hAnsi="Times New Roman" w:cs="Times New Roman"/>
          <w:color w:val="0D0D0D"/>
          <w:sz w:val="20"/>
          <w:szCs w:val="20"/>
        </w:rPr>
        <w:t>Питання переходу у власність держави майна, коштів та інших активів забороненої судом політичної партії, її обласних, міських, районних організацій, первинних осередків та інших структурних утворень</w:t>
      </w:r>
      <w:r w:rsidRPr="005605E9">
        <w:rPr>
          <w:rFonts w:ascii="Times New Roman" w:eastAsia="Times New Roman" w:hAnsi="Times New Roman" w:cs="Times New Roman"/>
          <w:b/>
          <w:bCs/>
          <w:color w:val="0D0D0D"/>
          <w:sz w:val="20"/>
          <w:szCs w:val="20"/>
        </w:rPr>
        <w:t xml:space="preserve"> </w:t>
      </w:r>
      <w:r w:rsidRPr="005605E9">
        <w:rPr>
          <w:rFonts w:ascii="Times New Roman" w:hAnsi="Times New Roman" w:cs="Times New Roman"/>
          <w:color w:val="0D0D0D"/>
          <w:sz w:val="20"/>
          <w:szCs w:val="20"/>
        </w:rPr>
        <w:t>від 12 серпня 2022 року № 896</w:t>
      </w:r>
      <w:bookmarkStart w:id="9" w:name="n3"/>
      <w:bookmarkEnd w:id="9"/>
      <w:r w:rsidRPr="005605E9">
        <w:rPr>
          <w:rFonts w:ascii="Times New Roman" w:hAnsi="Times New Roman" w:cs="Times New Roman"/>
          <w:color w:val="0D0D0D"/>
          <w:sz w:val="20"/>
          <w:szCs w:val="20"/>
        </w:rPr>
        <w:t xml:space="preserve">. </w:t>
      </w:r>
      <w:r w:rsidRPr="005605E9">
        <w:rPr>
          <w:rFonts w:ascii="Times New Roman" w:hAnsi="Times New Roman" w:cs="Times New Roman"/>
          <w:color w:val="0D0D0D"/>
          <w:sz w:val="20"/>
          <w:szCs w:val="20"/>
          <w:lang w:val="en-US"/>
        </w:rPr>
        <w:t>URL: https://zakon.rada.gov.ua/laws/show/896-2022-%D0%BF#Text</w:t>
      </w:r>
    </w:p>
  </w:footnote>
  <w:footnote w:id="12">
    <w:p w14:paraId="7D4519F3" w14:textId="77777777" w:rsidR="005605E9" w:rsidRPr="005605E9" w:rsidRDefault="005605E9" w:rsidP="005605E9">
      <w:pPr>
        <w:pStyle w:val="a5"/>
        <w:ind w:firstLine="284"/>
        <w:jc w:val="both"/>
        <w:rPr>
          <w:color w:val="0D0D0D"/>
          <w:lang w:val="en-US"/>
        </w:rPr>
      </w:pPr>
      <w:r w:rsidRPr="005605E9">
        <w:rPr>
          <w:rStyle w:val="a7"/>
          <w:color w:val="0D0D0D"/>
        </w:rPr>
        <w:footnoteRef/>
      </w:r>
      <w:r w:rsidRPr="005605E9">
        <w:rPr>
          <w:color w:val="0D0D0D"/>
        </w:rPr>
        <w:t xml:space="preserve">Про політичні партії. Закон України від </w:t>
      </w:r>
      <w:r w:rsidRPr="005605E9">
        <w:rPr>
          <w:rStyle w:val="rvts44"/>
          <w:color w:val="0D0D0D"/>
          <w:shd w:val="clear" w:color="auto" w:fill="FFFFFF"/>
        </w:rPr>
        <w:t xml:space="preserve">5 квітня 2001 року № 2365-III (зі змінами). </w:t>
      </w:r>
      <w:r w:rsidRPr="005605E9">
        <w:rPr>
          <w:rStyle w:val="rvts44"/>
          <w:color w:val="0D0D0D"/>
          <w:shd w:val="clear" w:color="auto" w:fill="FFFFFF"/>
          <w:lang w:val="en-US"/>
        </w:rPr>
        <w:t>URL: https://zakon.rada.gov.ua/laws/show/2365-14#Text</w:t>
      </w:r>
    </w:p>
  </w:footnote>
  <w:footnote w:id="13">
    <w:p w14:paraId="5F01852C" w14:textId="77777777" w:rsidR="005605E9" w:rsidRPr="005605E9" w:rsidRDefault="005605E9" w:rsidP="005605E9">
      <w:pPr>
        <w:pStyle w:val="12"/>
        <w:shd w:val="clear" w:color="auto" w:fill="auto"/>
        <w:spacing w:line="240" w:lineRule="auto"/>
        <w:ind w:firstLine="284"/>
        <w:rPr>
          <w:rFonts w:ascii="Times New Roman" w:hAnsi="Times New Roman" w:cs="Times New Roman"/>
          <w:color w:val="0D0D0D"/>
        </w:rPr>
      </w:pPr>
      <w:r w:rsidRPr="005605E9">
        <w:rPr>
          <w:rStyle w:val="a7"/>
          <w:rFonts w:ascii="Times New Roman" w:hAnsi="Times New Roman" w:cs="Times New Roman"/>
          <w:color w:val="0D0D0D"/>
        </w:rPr>
        <w:footnoteRef/>
      </w:r>
      <w:r w:rsidRPr="005605E9">
        <w:rPr>
          <w:rFonts w:ascii="Times New Roman" w:hAnsi="Times New Roman" w:cs="Times New Roman"/>
          <w:color w:val="0D0D0D"/>
        </w:rPr>
        <w:t xml:space="preserve"> </w:t>
      </w:r>
      <w:bookmarkStart w:id="11" w:name="_Hlk188811652"/>
      <w:r w:rsidRPr="005605E9">
        <w:rPr>
          <w:rFonts w:ascii="Times New Roman" w:hAnsi="Times New Roman" w:cs="Times New Roman"/>
          <w:color w:val="0D0D0D"/>
        </w:rPr>
        <w:t xml:space="preserve">Беляневич О. А. </w:t>
      </w:r>
      <w:r w:rsidRPr="005605E9">
        <w:rPr>
          <w:rFonts w:ascii="Times New Roman" w:hAnsi="Times New Roman" w:cs="Times New Roman"/>
          <w:bCs/>
          <w:color w:val="0D0D0D"/>
          <w:lang w:eastAsia="uk-UA" w:bidi="uk-UA"/>
        </w:rPr>
        <w:t xml:space="preserve">Про застосування у справах про банкрутство конструкції фраудаторного правочину. </w:t>
      </w:r>
      <w:r w:rsidRPr="005605E9">
        <w:rPr>
          <w:rFonts w:ascii="Times New Roman" w:hAnsi="Times New Roman" w:cs="Times New Roman"/>
          <w:color w:val="0D0D0D"/>
        </w:rPr>
        <w:t xml:space="preserve">Правничий часопис. 2021. № 2 С. 14–39. </w:t>
      </w:r>
      <w:r w:rsidRPr="005605E9">
        <w:rPr>
          <w:rFonts w:ascii="Times New Roman" w:eastAsia="Times New Roman" w:hAnsi="Times New Roman" w:cs="Times New Roman"/>
          <w:bCs/>
          <w:color w:val="0D0D0D"/>
          <w:lang w:eastAsia="uk-UA"/>
        </w:rPr>
        <w:t>DOI: </w:t>
      </w:r>
      <w:hyperlink r:id="rId4" w:history="1">
        <w:r w:rsidRPr="005605E9">
          <w:rPr>
            <w:rFonts w:ascii="Times New Roman" w:eastAsia="Times New Roman" w:hAnsi="Times New Roman" w:cs="Times New Roman"/>
            <w:color w:val="0D0D0D"/>
            <w:u w:val="single"/>
            <w:lang w:eastAsia="uk-UA"/>
          </w:rPr>
          <w:t>https://doi.org/10.31558/2786-5835.2021.2.2</w:t>
        </w:r>
      </w:hyperlink>
      <w:r w:rsidRPr="005605E9">
        <w:rPr>
          <w:rFonts w:ascii="Times New Roman" w:hAnsi="Times New Roman" w:cs="Times New Roman"/>
          <w:color w:val="0D0D0D"/>
        </w:rPr>
        <w:t xml:space="preserve"> </w:t>
      </w:r>
    </w:p>
    <w:bookmarkEnd w:id="11"/>
  </w:footnote>
  <w:footnote w:id="14">
    <w:p w14:paraId="585ED99A" w14:textId="77777777" w:rsidR="005605E9" w:rsidRPr="005605E9" w:rsidRDefault="005605E9" w:rsidP="005605E9">
      <w:pPr>
        <w:pStyle w:val="a5"/>
        <w:ind w:firstLine="284"/>
        <w:jc w:val="both"/>
        <w:rPr>
          <w:color w:val="0D0D0D"/>
          <w:lang w:val="en-US"/>
        </w:rPr>
      </w:pPr>
      <w:r w:rsidRPr="005605E9">
        <w:rPr>
          <w:rStyle w:val="a7"/>
          <w:color w:val="0D0D0D"/>
        </w:rPr>
        <w:footnoteRef/>
      </w:r>
      <w:r w:rsidRPr="005605E9">
        <w:rPr>
          <w:color w:val="0D0D0D"/>
        </w:rPr>
        <w:t xml:space="preserve"> </w:t>
      </w:r>
      <w:r w:rsidRPr="005605E9">
        <w:rPr>
          <w:color w:val="0D0D0D"/>
          <w:lang w:eastAsia="uk-UA" w:bidi="uk-UA"/>
        </w:rPr>
        <w:t xml:space="preserve">постанова Верховного суду у складі касаційного цивільного суду від 24.02.2021 р. у справі № 757/33392/16. </w:t>
      </w:r>
      <w:r w:rsidRPr="005605E9">
        <w:rPr>
          <w:color w:val="0D0D0D"/>
          <w:lang w:val="en-US" w:eastAsia="uk-UA" w:bidi="uk-UA"/>
        </w:rPr>
        <w:t xml:space="preserve">URL: </w:t>
      </w:r>
      <w:hyperlink r:id="rId5" w:history="1">
        <w:r w:rsidRPr="005605E9">
          <w:rPr>
            <w:rStyle w:val="a9"/>
            <w:color w:val="0D0D0D"/>
          </w:rPr>
          <w:t>https://reyestr.court.gov.ua/Review/95213197</w:t>
        </w:r>
      </w:hyperlink>
      <w:r w:rsidRPr="005605E9">
        <w:rPr>
          <w:color w:val="0D0D0D"/>
          <w:lang w:val="en-US"/>
        </w:rPr>
        <w:t xml:space="preserve"> </w:t>
      </w:r>
    </w:p>
  </w:footnote>
  <w:footnote w:id="15">
    <w:p w14:paraId="49CEC302" w14:textId="77777777" w:rsidR="005605E9" w:rsidRPr="005605E9" w:rsidRDefault="005605E9" w:rsidP="005605E9">
      <w:pPr>
        <w:pStyle w:val="a5"/>
        <w:ind w:firstLine="284"/>
        <w:jc w:val="both"/>
        <w:rPr>
          <w:color w:val="0D0D0D"/>
        </w:rPr>
      </w:pPr>
      <w:r w:rsidRPr="005605E9">
        <w:rPr>
          <w:rStyle w:val="a7"/>
          <w:color w:val="0D0D0D"/>
        </w:rPr>
        <w:footnoteRef/>
      </w:r>
      <w:r w:rsidRPr="005605E9">
        <w:rPr>
          <w:color w:val="0D0D0D"/>
        </w:rPr>
        <w:t xml:space="preserve"> Постанова Великої Палати Верховного Суду 03 липня 2019 у справі № 369/11268/16-ц. </w:t>
      </w:r>
      <w:r w:rsidRPr="005605E9">
        <w:rPr>
          <w:color w:val="0D0D0D"/>
          <w:lang w:val="en-US"/>
        </w:rPr>
        <w:t xml:space="preserve">URL: </w:t>
      </w:r>
      <w:r w:rsidRPr="005605E9">
        <w:rPr>
          <w:color w:val="0D0D0D"/>
        </w:rPr>
        <w:t>https://reyestr.court.gov.ua/Review/83482786</w:t>
      </w:r>
    </w:p>
  </w:footnote>
  <w:footnote w:id="16">
    <w:p w14:paraId="1C1C0A4E" w14:textId="77777777" w:rsidR="005605E9" w:rsidRPr="005605E9" w:rsidRDefault="005605E9" w:rsidP="005605E9">
      <w:pPr>
        <w:pStyle w:val="a5"/>
        <w:ind w:firstLine="284"/>
        <w:jc w:val="both"/>
        <w:rPr>
          <w:color w:val="0D0D0D"/>
        </w:rPr>
      </w:pPr>
      <w:r w:rsidRPr="005605E9">
        <w:rPr>
          <w:rStyle w:val="a7"/>
          <w:color w:val="0D0D0D"/>
        </w:rPr>
        <w:footnoteRef/>
      </w:r>
      <w:r w:rsidRPr="005605E9">
        <w:rPr>
          <w:color w:val="0D0D0D"/>
        </w:rPr>
        <w:t xml:space="preserve"> Постанова Великої Палати Верховного Суду 03 липня 2019 у справі № 369/11268/16-ц. </w:t>
      </w:r>
      <w:r w:rsidRPr="005605E9">
        <w:rPr>
          <w:color w:val="0D0D0D"/>
          <w:lang w:val="en-US"/>
        </w:rPr>
        <w:t xml:space="preserve">URL: </w:t>
      </w:r>
      <w:r w:rsidRPr="005605E9">
        <w:rPr>
          <w:color w:val="0D0D0D"/>
        </w:rPr>
        <w:t>https://reyestr.court.gov.ua/Review/83482786</w:t>
      </w:r>
    </w:p>
  </w:footnote>
  <w:footnote w:id="17">
    <w:p w14:paraId="7AC41F5C" w14:textId="77777777" w:rsidR="005605E9" w:rsidRPr="005605E9" w:rsidRDefault="005605E9" w:rsidP="005605E9">
      <w:pPr>
        <w:autoSpaceDE w:val="0"/>
        <w:autoSpaceDN w:val="0"/>
        <w:adjustRightInd w:val="0"/>
        <w:spacing w:after="0" w:line="240" w:lineRule="auto"/>
        <w:ind w:firstLine="284"/>
        <w:jc w:val="both"/>
        <w:rPr>
          <w:rFonts w:ascii="Times New Roman" w:hAnsi="Times New Roman" w:cs="Times New Roman"/>
          <w:color w:val="0D0D0D"/>
          <w:sz w:val="20"/>
          <w:szCs w:val="20"/>
        </w:rPr>
      </w:pPr>
      <w:r w:rsidRPr="005605E9">
        <w:rPr>
          <w:rStyle w:val="a7"/>
          <w:rFonts w:ascii="Times New Roman" w:hAnsi="Times New Roman" w:cs="Times New Roman"/>
          <w:color w:val="0D0D0D"/>
          <w:sz w:val="20"/>
          <w:szCs w:val="20"/>
        </w:rPr>
        <w:footnoteRef/>
      </w:r>
      <w:r w:rsidRPr="005605E9">
        <w:rPr>
          <w:rFonts w:ascii="Times New Roman" w:hAnsi="Times New Roman" w:cs="Times New Roman"/>
          <w:color w:val="0D0D0D"/>
          <w:sz w:val="20"/>
          <w:szCs w:val="20"/>
        </w:rPr>
        <w:t xml:space="preserve"> </w:t>
      </w:r>
      <w:r w:rsidRPr="005605E9">
        <w:rPr>
          <w:rFonts w:ascii="Times New Roman" w:eastAsia="TimesNewRomanPSMT" w:hAnsi="Times New Roman" w:cs="Times New Roman"/>
          <w:color w:val="0D0D0D"/>
          <w:sz w:val="20"/>
          <w:szCs w:val="20"/>
        </w:rPr>
        <w:t xml:space="preserve">Бугрик А., Дубіна М., Литвин А. Фраудаторний правочин: зміст та доцільність законодавчого врегулювання. </w:t>
      </w:r>
      <w:r w:rsidRPr="005605E9">
        <w:rPr>
          <w:rFonts w:ascii="Times New Roman" w:eastAsia="TimesNewRomanPS-ItalicMT" w:hAnsi="Times New Roman" w:cs="Times New Roman"/>
          <w:i/>
          <w:iCs/>
          <w:color w:val="0D0D0D"/>
          <w:sz w:val="20"/>
          <w:szCs w:val="20"/>
        </w:rPr>
        <w:t>Юридичний науковий електронний журнал</w:t>
      </w:r>
      <w:r w:rsidRPr="005605E9">
        <w:rPr>
          <w:rFonts w:ascii="Times New Roman" w:eastAsia="TimesNewRomanPSMT" w:hAnsi="Times New Roman" w:cs="Times New Roman"/>
          <w:color w:val="0D0D0D"/>
          <w:sz w:val="20"/>
          <w:szCs w:val="20"/>
        </w:rPr>
        <w:t>. 2023. № 4. С. 131–134 – с. 133</w:t>
      </w:r>
    </w:p>
  </w:footnote>
  <w:footnote w:id="18">
    <w:p w14:paraId="50F40222" w14:textId="77777777" w:rsidR="005605E9" w:rsidRPr="005605E9" w:rsidRDefault="005605E9" w:rsidP="005605E9">
      <w:pPr>
        <w:pStyle w:val="21"/>
        <w:shd w:val="clear" w:color="auto" w:fill="auto"/>
        <w:tabs>
          <w:tab w:val="left" w:pos="279"/>
        </w:tabs>
        <w:spacing w:line="240" w:lineRule="auto"/>
        <w:ind w:right="240" w:firstLine="284"/>
        <w:rPr>
          <w:color w:val="0D0D0D"/>
          <w:sz w:val="20"/>
          <w:szCs w:val="20"/>
        </w:rPr>
      </w:pPr>
      <w:r w:rsidRPr="005605E9">
        <w:rPr>
          <w:rStyle w:val="a7"/>
          <w:color w:val="0D0D0D"/>
          <w:sz w:val="20"/>
          <w:szCs w:val="20"/>
        </w:rPr>
        <w:footnoteRef/>
      </w:r>
      <w:r w:rsidRPr="005605E9">
        <w:rPr>
          <w:color w:val="0D0D0D"/>
          <w:sz w:val="20"/>
          <w:szCs w:val="20"/>
        </w:rPr>
        <w:t xml:space="preserve"> </w:t>
      </w:r>
      <w:r w:rsidRPr="005605E9">
        <w:rPr>
          <w:color w:val="0D0D0D"/>
          <w:sz w:val="20"/>
          <w:szCs w:val="20"/>
          <w:lang w:eastAsia="uk-UA" w:bidi="uk-UA"/>
        </w:rPr>
        <w:t xml:space="preserve">Ромовська Зорислава. Українське цивільне право: загальна частина. Академічний курс: підручник. Київ: Атіка, 2005. 560 с. – С. 480. </w:t>
      </w:r>
    </w:p>
  </w:footnote>
  <w:footnote w:id="19">
    <w:p w14:paraId="3C02B9FA" w14:textId="77777777" w:rsidR="005605E9" w:rsidRPr="005605E9" w:rsidRDefault="005605E9" w:rsidP="005605E9">
      <w:pPr>
        <w:pStyle w:val="12"/>
        <w:shd w:val="clear" w:color="auto" w:fill="auto"/>
        <w:spacing w:line="240" w:lineRule="auto"/>
        <w:ind w:firstLine="284"/>
        <w:rPr>
          <w:rFonts w:ascii="Times New Roman" w:hAnsi="Times New Roman" w:cs="Times New Roman"/>
          <w:color w:val="0D0D0D"/>
        </w:rPr>
      </w:pPr>
      <w:r w:rsidRPr="005605E9">
        <w:rPr>
          <w:rStyle w:val="a7"/>
          <w:rFonts w:ascii="Times New Roman" w:hAnsi="Times New Roman" w:cs="Times New Roman"/>
          <w:color w:val="0D0D0D"/>
        </w:rPr>
        <w:footnoteRef/>
      </w:r>
      <w:r w:rsidRPr="005605E9">
        <w:rPr>
          <w:rFonts w:ascii="Times New Roman" w:hAnsi="Times New Roman" w:cs="Times New Roman"/>
          <w:color w:val="0D0D0D"/>
        </w:rPr>
        <w:t xml:space="preserve"> Беляневич О. А. </w:t>
      </w:r>
      <w:r w:rsidRPr="005605E9">
        <w:rPr>
          <w:rFonts w:ascii="Times New Roman" w:hAnsi="Times New Roman" w:cs="Times New Roman"/>
          <w:bCs/>
          <w:color w:val="0D0D0D"/>
          <w:lang w:eastAsia="uk-UA" w:bidi="uk-UA"/>
        </w:rPr>
        <w:t xml:space="preserve">Про застосування у справах про банкрутство конструкції фраудаторного правочину. </w:t>
      </w:r>
      <w:r w:rsidRPr="005605E9">
        <w:rPr>
          <w:rFonts w:ascii="Times New Roman" w:hAnsi="Times New Roman" w:cs="Times New Roman"/>
          <w:color w:val="0D0D0D"/>
        </w:rPr>
        <w:t xml:space="preserve">Правничий часопис. 2021. № 2 С. 14–39. </w:t>
      </w:r>
      <w:r w:rsidRPr="005605E9">
        <w:rPr>
          <w:rFonts w:ascii="Times New Roman" w:eastAsia="Times New Roman" w:hAnsi="Times New Roman" w:cs="Times New Roman"/>
          <w:bCs/>
          <w:color w:val="0D0D0D"/>
          <w:lang w:eastAsia="uk-UA"/>
        </w:rPr>
        <w:t>DOI: </w:t>
      </w:r>
      <w:hyperlink r:id="rId6" w:history="1">
        <w:r w:rsidRPr="005605E9">
          <w:rPr>
            <w:rFonts w:ascii="Times New Roman" w:eastAsia="Times New Roman" w:hAnsi="Times New Roman" w:cs="Times New Roman"/>
            <w:color w:val="0D0D0D"/>
            <w:u w:val="single"/>
            <w:lang w:eastAsia="uk-UA"/>
          </w:rPr>
          <w:t>https://doi.org/10.31558/2786-5835.2021.2.2</w:t>
        </w:r>
      </w:hyperlink>
      <w:r w:rsidRPr="005605E9">
        <w:rPr>
          <w:rFonts w:ascii="Times New Roman" w:hAnsi="Times New Roman" w:cs="Times New Roman"/>
          <w:color w:val="0D0D0D"/>
        </w:rPr>
        <w:t xml:space="preserve"> – С. 17</w:t>
      </w:r>
    </w:p>
  </w:footnote>
  <w:footnote w:id="20">
    <w:p w14:paraId="4FA58DAD" w14:textId="77777777" w:rsidR="005605E9" w:rsidRPr="005605E9" w:rsidRDefault="005605E9" w:rsidP="005605E9">
      <w:pPr>
        <w:autoSpaceDE w:val="0"/>
        <w:autoSpaceDN w:val="0"/>
        <w:adjustRightInd w:val="0"/>
        <w:spacing w:after="0" w:line="240" w:lineRule="auto"/>
        <w:ind w:firstLine="284"/>
        <w:jc w:val="both"/>
        <w:rPr>
          <w:rFonts w:ascii="Times New Roman" w:hAnsi="Times New Roman" w:cs="Times New Roman"/>
          <w:color w:val="0D0D0D"/>
          <w:sz w:val="20"/>
          <w:szCs w:val="20"/>
        </w:rPr>
      </w:pPr>
      <w:r w:rsidRPr="005605E9">
        <w:rPr>
          <w:rStyle w:val="a7"/>
          <w:rFonts w:ascii="Times New Roman" w:hAnsi="Times New Roman" w:cs="Times New Roman"/>
          <w:color w:val="0D0D0D"/>
          <w:sz w:val="20"/>
          <w:szCs w:val="20"/>
        </w:rPr>
        <w:footnoteRef/>
      </w:r>
      <w:r w:rsidRPr="005605E9">
        <w:rPr>
          <w:rFonts w:ascii="Times New Roman" w:hAnsi="Times New Roman" w:cs="Times New Roman"/>
          <w:color w:val="0D0D0D"/>
          <w:sz w:val="20"/>
          <w:szCs w:val="20"/>
        </w:rPr>
        <w:t xml:space="preserve"> Гофельд Г.С. Відмежування фраудаторного правочину від фіктивного та удаваного правочинів. </w:t>
      </w:r>
      <w:r w:rsidRPr="005605E9">
        <w:rPr>
          <w:rFonts w:ascii="Times New Roman" w:eastAsia="TimesNewRomanPSMT" w:hAnsi="Times New Roman" w:cs="Times New Roman"/>
          <w:color w:val="0D0D0D"/>
          <w:sz w:val="20"/>
          <w:szCs w:val="20"/>
        </w:rPr>
        <w:t xml:space="preserve">Науковий вісник Ужгородського Національного Університету, Серія ПРАВО. 2024. Випуск 86: частина 2. С. 82 – 86. </w:t>
      </w:r>
      <w:r w:rsidRPr="005605E9">
        <w:rPr>
          <w:rFonts w:ascii="Times New Roman" w:hAnsi="Times New Roman" w:cs="Times New Roman"/>
          <w:color w:val="0D0D0D"/>
          <w:sz w:val="20"/>
          <w:szCs w:val="20"/>
        </w:rPr>
        <w:t xml:space="preserve">DOI </w:t>
      </w:r>
      <w:hyperlink r:id="rId7" w:history="1">
        <w:r w:rsidRPr="005605E9">
          <w:rPr>
            <w:rStyle w:val="a9"/>
            <w:rFonts w:ascii="Times New Roman" w:hAnsi="Times New Roman" w:cs="Times New Roman"/>
            <w:color w:val="0D0D0D"/>
            <w:sz w:val="20"/>
            <w:szCs w:val="20"/>
          </w:rPr>
          <w:t>https://doi.org/10.24144/2307-3322.2024.86.2.13</w:t>
        </w:r>
      </w:hyperlink>
      <w:r w:rsidRPr="005605E9">
        <w:rPr>
          <w:rFonts w:ascii="Times New Roman" w:hAnsi="Times New Roman" w:cs="Times New Roman"/>
          <w:color w:val="0D0D0D"/>
          <w:sz w:val="20"/>
          <w:szCs w:val="20"/>
        </w:rPr>
        <w:t xml:space="preserve"> – С. 85. </w:t>
      </w:r>
    </w:p>
  </w:footnote>
  <w:footnote w:id="21">
    <w:p w14:paraId="1D39083B" w14:textId="42C4DE78" w:rsidR="005605E9" w:rsidRPr="00F240FA" w:rsidRDefault="005605E9" w:rsidP="005605E9">
      <w:pPr>
        <w:pStyle w:val="1"/>
        <w:shd w:val="clear" w:color="auto" w:fill="FFFFFF"/>
        <w:spacing w:before="0"/>
        <w:ind w:firstLine="284"/>
        <w:jc w:val="both"/>
        <w:rPr>
          <w:rFonts w:ascii="Times New Roman" w:hAnsi="Times New Roman" w:cs="Times New Roman"/>
          <w:b/>
          <w:bCs/>
          <w:color w:val="0D0D0D"/>
          <w:sz w:val="20"/>
          <w:szCs w:val="20"/>
        </w:rPr>
      </w:pPr>
      <w:r w:rsidRPr="005605E9">
        <w:rPr>
          <w:rStyle w:val="a7"/>
          <w:rFonts w:eastAsia="Arial"/>
          <w:color w:val="0D0D0D"/>
          <w:sz w:val="20"/>
          <w:szCs w:val="20"/>
        </w:rPr>
        <w:footnoteRef/>
      </w:r>
      <w:r w:rsidRPr="005605E9">
        <w:rPr>
          <w:color w:val="0D0D0D"/>
          <w:sz w:val="20"/>
          <w:szCs w:val="20"/>
        </w:rPr>
        <w:t xml:space="preserve"> </w:t>
      </w:r>
      <w:r w:rsidRPr="00F240FA">
        <w:rPr>
          <w:rFonts w:ascii="Times New Roman" w:hAnsi="Times New Roman" w:cs="Times New Roman"/>
          <w:color w:val="0D0D0D"/>
          <w:sz w:val="20"/>
          <w:szCs w:val="20"/>
        </w:rPr>
        <w:t xml:space="preserve">Пацурія Ніно Богданівна. </w:t>
      </w:r>
      <w:r w:rsidR="00F240FA">
        <w:rPr>
          <w:rFonts w:ascii="Times New Roman" w:hAnsi="Times New Roman" w:cs="Times New Roman"/>
          <w:color w:val="0D0D0D"/>
          <w:sz w:val="20"/>
          <w:szCs w:val="20"/>
        </w:rPr>
        <w:t>Н</w:t>
      </w:r>
      <w:r w:rsidRPr="00F240FA">
        <w:rPr>
          <w:rFonts w:ascii="Times New Roman" w:hAnsi="Times New Roman" w:cs="Times New Roman"/>
          <w:color w:val="0D0D0D"/>
          <w:sz w:val="20"/>
          <w:szCs w:val="20"/>
        </w:rPr>
        <w:t xml:space="preserve">ауковий висновок експерта у галузі права </w:t>
      </w:r>
      <w:r w:rsidRPr="00F240FA">
        <w:rPr>
          <w:rStyle w:val="a8"/>
          <w:rFonts w:ascii="Times New Roman" w:hAnsi="Times New Roman" w:cs="Times New Roman"/>
          <w:color w:val="0D0D0D"/>
          <w:spacing w:val="5"/>
          <w:sz w:val="20"/>
          <w:szCs w:val="20"/>
          <w:shd w:val="clear" w:color="auto" w:fill="FFFFFF"/>
        </w:rPr>
        <w:t xml:space="preserve">щодо можливості вважати належним та ефективним способом захисту оскарження особою правочину, стороною якого вона не являється, без одночасного пред’явлення вимоги про застосування наслідків недійсності такого правочину. </w:t>
      </w:r>
      <w:r w:rsidRPr="00F240FA">
        <w:rPr>
          <w:rFonts w:ascii="Times New Roman" w:hAnsi="Times New Roman" w:cs="Times New Roman"/>
          <w:caps/>
          <w:color w:val="0D0D0D"/>
          <w:sz w:val="20"/>
          <w:szCs w:val="20"/>
          <w:shd w:val="clear" w:color="auto" w:fill="FFFFFF"/>
        </w:rPr>
        <w:t xml:space="preserve">09.12.2021. URL: </w:t>
      </w:r>
      <w:r w:rsidRPr="00F240FA">
        <w:rPr>
          <w:rFonts w:ascii="Times New Roman" w:hAnsi="Times New Roman" w:cs="Times New Roman"/>
          <w:color w:val="0D0D0D"/>
          <w:sz w:val="20"/>
          <w:szCs w:val="20"/>
          <w:shd w:val="clear" w:color="auto" w:fill="FFFFFF"/>
        </w:rPr>
        <w:t>https://coordynata.com.ua/naukovij-visnovok-eksperta-u-galuzi-prava</w:t>
      </w:r>
    </w:p>
  </w:footnote>
  <w:footnote w:id="22">
    <w:p w14:paraId="2FFD85DE" w14:textId="77777777" w:rsidR="005605E9" w:rsidRPr="00F240FA" w:rsidRDefault="005605E9" w:rsidP="005605E9">
      <w:pPr>
        <w:pStyle w:val="a5"/>
        <w:ind w:firstLine="284"/>
        <w:jc w:val="both"/>
        <w:rPr>
          <w:color w:val="0D0D0D"/>
        </w:rPr>
      </w:pPr>
      <w:r w:rsidRPr="00F240FA">
        <w:rPr>
          <w:rStyle w:val="a7"/>
          <w:color w:val="0D0D0D"/>
        </w:rPr>
        <w:footnoteRef/>
      </w:r>
      <w:r w:rsidRPr="00F240FA">
        <w:rPr>
          <w:color w:val="0D0D0D"/>
        </w:rPr>
        <w:t xml:space="preserve"> Постанова Верховного Суду у складі колегії суддів Касаційного господарського суду від 19 вересня 2023 року у справі № 910/19668/21. </w:t>
      </w:r>
      <w:r w:rsidRPr="00F240FA">
        <w:rPr>
          <w:color w:val="0D0D0D"/>
          <w:lang w:val="en-US"/>
        </w:rPr>
        <w:t xml:space="preserve">URL: </w:t>
      </w:r>
      <w:r w:rsidRPr="00F240FA">
        <w:rPr>
          <w:color w:val="0D0D0D"/>
        </w:rPr>
        <w:t>https://reyestr.court.gov.ua/Review/113651175.</w:t>
      </w:r>
    </w:p>
  </w:footnote>
  <w:footnote w:id="23">
    <w:p w14:paraId="2C056599" w14:textId="77777777" w:rsidR="005605E9" w:rsidRPr="005605E9" w:rsidRDefault="005605E9" w:rsidP="005605E9">
      <w:pPr>
        <w:pStyle w:val="a5"/>
        <w:ind w:firstLine="284"/>
        <w:jc w:val="both"/>
        <w:rPr>
          <w:color w:val="0D0D0D"/>
        </w:rPr>
      </w:pPr>
      <w:r w:rsidRPr="005605E9">
        <w:rPr>
          <w:rStyle w:val="a7"/>
          <w:color w:val="0D0D0D"/>
        </w:rPr>
        <w:footnoteRef/>
      </w:r>
      <w:r w:rsidRPr="005605E9">
        <w:rPr>
          <w:color w:val="0D0D0D"/>
        </w:rPr>
        <w:t xml:space="preserve"> Постанова Верховного Суду у складі колегії суддів Касаційного господарського суду від 19 вересня 2023 року у справі № 910/19668/21. </w:t>
      </w:r>
      <w:r w:rsidRPr="005605E9">
        <w:rPr>
          <w:color w:val="0D0D0D"/>
          <w:lang w:val="en-US"/>
        </w:rPr>
        <w:t xml:space="preserve">URL: </w:t>
      </w:r>
      <w:r w:rsidRPr="005605E9">
        <w:rPr>
          <w:color w:val="0D0D0D"/>
        </w:rPr>
        <w:t>https://reyestr.court.gov.ua/Review/113651175</w:t>
      </w:r>
    </w:p>
  </w:footnote>
  <w:footnote w:id="24">
    <w:p w14:paraId="66177127" w14:textId="77777777" w:rsidR="005605E9" w:rsidRPr="005605E9" w:rsidRDefault="005605E9" w:rsidP="005605E9">
      <w:pPr>
        <w:spacing w:after="0" w:line="240" w:lineRule="auto"/>
        <w:ind w:firstLine="284"/>
        <w:jc w:val="both"/>
        <w:rPr>
          <w:rFonts w:ascii="Times New Roman" w:hAnsi="Times New Roman" w:cs="Times New Roman"/>
          <w:color w:val="0D0D0D"/>
          <w:sz w:val="20"/>
          <w:szCs w:val="20"/>
        </w:rPr>
      </w:pPr>
      <w:r w:rsidRPr="005605E9">
        <w:rPr>
          <w:rStyle w:val="a7"/>
          <w:rFonts w:ascii="Times New Roman" w:hAnsi="Times New Roman" w:cs="Times New Roman"/>
          <w:color w:val="0D0D0D"/>
          <w:sz w:val="20"/>
          <w:szCs w:val="20"/>
        </w:rPr>
        <w:footnoteRef/>
      </w:r>
      <w:r w:rsidRPr="005605E9">
        <w:rPr>
          <w:rFonts w:ascii="Times New Roman" w:hAnsi="Times New Roman" w:cs="Times New Roman"/>
          <w:color w:val="0D0D0D"/>
          <w:sz w:val="20"/>
          <w:szCs w:val="20"/>
        </w:rPr>
        <w:t xml:space="preserve"> </w:t>
      </w:r>
      <w:r w:rsidRPr="005605E9">
        <w:rPr>
          <w:rFonts w:ascii="Times New Roman" w:eastAsia="Times New Roman" w:hAnsi="Times New Roman" w:cs="Times New Roman"/>
          <w:color w:val="0D0D0D"/>
          <w:sz w:val="20"/>
          <w:szCs w:val="20"/>
          <w:lang w:eastAsia="uk-UA"/>
        </w:rPr>
        <w:t>Постанова ВП ВС від 18 вересня 2024 року у справі № 918/1043/21 (провадження № 12-35гс23) – </w:t>
      </w:r>
      <w:hyperlink r:id="rId8" w:history="1">
        <w:r w:rsidRPr="005605E9">
          <w:rPr>
            <w:rFonts w:ascii="Times New Roman" w:eastAsia="Times New Roman" w:hAnsi="Times New Roman" w:cs="Times New Roman"/>
            <w:color w:val="0D0D0D"/>
            <w:sz w:val="20"/>
            <w:szCs w:val="20"/>
            <w:lang w:eastAsia="uk-UA"/>
          </w:rPr>
          <w:t>https://reyestr.court.gov.ua/Review/121753942</w:t>
        </w:r>
      </w:hyperlink>
      <w:r w:rsidRPr="005605E9">
        <w:rPr>
          <w:rFonts w:ascii="Times New Roman" w:eastAsia="Times New Roman" w:hAnsi="Times New Roman" w:cs="Times New Roman"/>
          <w:color w:val="0D0D0D"/>
          <w:sz w:val="20"/>
          <w:szCs w:val="20"/>
          <w:lang w:eastAsia="uk-UA"/>
        </w:rPr>
        <w:t>.</w:t>
      </w:r>
    </w:p>
  </w:footnote>
  <w:footnote w:id="25">
    <w:p w14:paraId="2C5CC574" w14:textId="77777777" w:rsidR="005605E9" w:rsidRPr="005605E9" w:rsidRDefault="005605E9" w:rsidP="005605E9">
      <w:pPr>
        <w:spacing w:after="0" w:line="240" w:lineRule="auto"/>
        <w:ind w:firstLine="284"/>
        <w:jc w:val="both"/>
        <w:rPr>
          <w:rFonts w:ascii="Times New Roman" w:hAnsi="Times New Roman" w:cs="Times New Roman"/>
          <w:color w:val="0D0D0D"/>
          <w:sz w:val="20"/>
          <w:szCs w:val="20"/>
        </w:rPr>
      </w:pPr>
      <w:r w:rsidRPr="005605E9">
        <w:rPr>
          <w:rStyle w:val="a7"/>
          <w:rFonts w:ascii="Times New Roman" w:hAnsi="Times New Roman" w:cs="Times New Roman"/>
          <w:color w:val="0D0D0D"/>
          <w:sz w:val="20"/>
          <w:szCs w:val="20"/>
        </w:rPr>
        <w:footnoteRef/>
      </w:r>
      <w:r w:rsidRPr="005605E9">
        <w:rPr>
          <w:rFonts w:ascii="Times New Roman" w:hAnsi="Times New Roman" w:cs="Times New Roman"/>
          <w:color w:val="0D0D0D"/>
          <w:sz w:val="20"/>
          <w:szCs w:val="20"/>
        </w:rPr>
        <w:t xml:space="preserve"> </w:t>
      </w:r>
      <w:r w:rsidRPr="005605E9">
        <w:rPr>
          <w:rFonts w:ascii="Times New Roman" w:eastAsia="Times New Roman" w:hAnsi="Times New Roman" w:cs="Times New Roman"/>
          <w:color w:val="0D0D0D"/>
          <w:sz w:val="20"/>
          <w:szCs w:val="20"/>
          <w:lang w:eastAsia="uk-UA"/>
        </w:rPr>
        <w:t>Постанова ВП ВС від 18 вересня 2024 року у справі № 918/1043/21 (провадження № 12-35гс23) – </w:t>
      </w:r>
      <w:hyperlink r:id="rId9" w:history="1">
        <w:r w:rsidRPr="005605E9">
          <w:rPr>
            <w:rFonts w:ascii="Times New Roman" w:eastAsia="Times New Roman" w:hAnsi="Times New Roman" w:cs="Times New Roman"/>
            <w:color w:val="0D0D0D"/>
            <w:sz w:val="20"/>
            <w:szCs w:val="20"/>
            <w:lang w:eastAsia="uk-UA"/>
          </w:rPr>
          <w:t>https://reyestr.court.gov.ua/Review/121753942</w:t>
        </w:r>
      </w:hyperlink>
      <w:r w:rsidRPr="005605E9">
        <w:rPr>
          <w:rFonts w:ascii="Times New Roman" w:eastAsia="Times New Roman" w:hAnsi="Times New Roman" w:cs="Times New Roman"/>
          <w:color w:val="0D0D0D"/>
          <w:sz w:val="20"/>
          <w:szCs w:val="20"/>
          <w:lang w:eastAsia="uk-UA"/>
        </w:rPr>
        <w:t>.</w:t>
      </w:r>
    </w:p>
  </w:footnote>
  <w:footnote w:id="26">
    <w:p w14:paraId="7E0FB646" w14:textId="77777777" w:rsidR="005605E9" w:rsidRPr="005605E9" w:rsidRDefault="005605E9" w:rsidP="005605E9">
      <w:pPr>
        <w:spacing w:after="0" w:line="240" w:lineRule="auto"/>
        <w:ind w:firstLine="284"/>
        <w:jc w:val="both"/>
        <w:rPr>
          <w:rFonts w:ascii="Times New Roman" w:hAnsi="Times New Roman" w:cs="Times New Roman"/>
          <w:color w:val="0D0D0D"/>
          <w:sz w:val="20"/>
          <w:szCs w:val="20"/>
        </w:rPr>
      </w:pPr>
      <w:r w:rsidRPr="005605E9">
        <w:rPr>
          <w:rStyle w:val="a7"/>
          <w:rFonts w:ascii="Times New Roman" w:hAnsi="Times New Roman" w:cs="Times New Roman"/>
          <w:color w:val="0D0D0D"/>
          <w:sz w:val="20"/>
          <w:szCs w:val="20"/>
        </w:rPr>
        <w:footnoteRef/>
      </w:r>
      <w:r w:rsidRPr="005605E9">
        <w:rPr>
          <w:rFonts w:ascii="Times New Roman" w:hAnsi="Times New Roman" w:cs="Times New Roman"/>
          <w:color w:val="0D0D0D"/>
          <w:sz w:val="20"/>
          <w:szCs w:val="20"/>
        </w:rPr>
        <w:t xml:space="preserve"> Постанова ВП ВС від 11.09.2018 у справі № 909/968/16 </w:t>
      </w:r>
      <w:hyperlink r:id="rId10" w:history="1">
        <w:r w:rsidRPr="005605E9">
          <w:rPr>
            <w:rStyle w:val="a9"/>
            <w:rFonts w:ascii="Times New Roman" w:hAnsi="Times New Roman" w:cs="Times New Roman"/>
            <w:color w:val="0D0D0D"/>
            <w:sz w:val="20"/>
            <w:szCs w:val="20"/>
          </w:rPr>
          <w:t>http://reyestr.court.gov.ua/Review/76860058</w:t>
        </w:r>
      </w:hyperlink>
      <w:r w:rsidRPr="005605E9">
        <w:rPr>
          <w:rFonts w:ascii="Times New Roman" w:hAnsi="Times New Roman" w:cs="Times New Roman"/>
          <w:color w:val="0D0D0D"/>
          <w:sz w:val="20"/>
          <w:szCs w:val="20"/>
        </w:rPr>
        <w:t xml:space="preserve"> </w:t>
      </w:r>
    </w:p>
    <w:p w14:paraId="3BD0920B" w14:textId="77777777" w:rsidR="005605E9" w:rsidRPr="005605E9" w:rsidRDefault="005605E9" w:rsidP="005605E9">
      <w:pPr>
        <w:spacing w:after="0" w:line="240" w:lineRule="auto"/>
        <w:ind w:firstLine="284"/>
        <w:jc w:val="both"/>
        <w:rPr>
          <w:rFonts w:ascii="Times New Roman" w:hAnsi="Times New Roman" w:cs="Times New Roman"/>
          <w:color w:val="0D0D0D"/>
          <w:sz w:val="20"/>
          <w:szCs w:val="20"/>
        </w:rPr>
      </w:pPr>
      <w:r w:rsidRPr="005605E9">
        <w:rPr>
          <w:rFonts w:ascii="Times New Roman" w:hAnsi="Times New Roman" w:cs="Times New Roman"/>
          <w:color w:val="0D0D0D"/>
          <w:sz w:val="20"/>
          <w:szCs w:val="20"/>
        </w:rPr>
        <w:t xml:space="preserve">Постанова Вс у складі КГС ВС від 30.07.2019 у справі № 28/29-б-43/212-2012 </w:t>
      </w:r>
      <w:hyperlink r:id="rId11" w:history="1">
        <w:r w:rsidRPr="005605E9">
          <w:rPr>
            <w:rStyle w:val="a9"/>
            <w:rFonts w:ascii="Times New Roman" w:hAnsi="Times New Roman" w:cs="Times New Roman"/>
            <w:color w:val="0D0D0D"/>
            <w:sz w:val="20"/>
            <w:szCs w:val="20"/>
          </w:rPr>
          <w:t>http://reyestr.court.gov.ua/Review/83537993</w:t>
        </w:r>
      </w:hyperlink>
      <w:r w:rsidRPr="005605E9">
        <w:rPr>
          <w:rFonts w:ascii="Times New Roman" w:hAnsi="Times New Roman" w:cs="Times New Roman"/>
          <w:color w:val="0D0D0D"/>
          <w:sz w:val="20"/>
          <w:szCs w:val="20"/>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69127718"/>
      <w:docPartObj>
        <w:docPartGallery w:val="Page Numbers (Top of Page)"/>
        <w:docPartUnique/>
      </w:docPartObj>
    </w:sdtPr>
    <w:sdtEndPr/>
    <w:sdtContent>
      <w:p w14:paraId="2140908B" w14:textId="77777777" w:rsidR="000443DB" w:rsidRDefault="001B7E92">
        <w:pPr>
          <w:pStyle w:val="a3"/>
          <w:jc w:val="right"/>
        </w:pPr>
        <w:r>
          <w:fldChar w:fldCharType="begin"/>
        </w:r>
        <w:r>
          <w:instrText>PAGE   \* MERGEFORMAT</w:instrText>
        </w:r>
        <w:r>
          <w:fldChar w:fldCharType="separate"/>
        </w:r>
        <w:r w:rsidR="00261C8B" w:rsidRPr="00261C8B">
          <w:rPr>
            <w:noProof/>
            <w:lang w:val="ru-RU"/>
          </w:rPr>
          <w:t>2</w:t>
        </w:r>
        <w:r>
          <w:fldChar w:fldCharType="end"/>
        </w:r>
      </w:p>
    </w:sdtContent>
  </w:sdt>
  <w:p w14:paraId="44F5E1B6" w14:textId="77777777" w:rsidR="000443DB" w:rsidRDefault="00D217EF">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7E4253"/>
    <w:multiLevelType w:val="hybridMultilevel"/>
    <w:tmpl w:val="35D6C298"/>
    <w:lvl w:ilvl="0" w:tplc="CCD21724">
      <w:start w:val="1"/>
      <w:numFmt w:val="decimal"/>
      <w:lvlText w:val="%1."/>
      <w:lvlJc w:val="left"/>
      <w:pPr>
        <w:ind w:left="1069" w:hanging="360"/>
      </w:pPr>
      <w:rPr>
        <w:rFonts w:hint="default"/>
        <w:color w:val="000000" w:themeColor="text1"/>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A794776"/>
    <w:multiLevelType w:val="hybridMultilevel"/>
    <w:tmpl w:val="62FE2AE4"/>
    <w:lvl w:ilvl="0" w:tplc="433807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298D4C36"/>
    <w:multiLevelType w:val="hybridMultilevel"/>
    <w:tmpl w:val="066A4EF8"/>
    <w:lvl w:ilvl="0" w:tplc="BC8AA1B4">
      <w:start w:val="2"/>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
    <w:nsid w:val="2E384E5F"/>
    <w:multiLevelType w:val="hybridMultilevel"/>
    <w:tmpl w:val="0BB8E598"/>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E865FD6"/>
    <w:multiLevelType w:val="hybridMultilevel"/>
    <w:tmpl w:val="84E6F1BE"/>
    <w:lvl w:ilvl="0" w:tplc="889ADBA2">
      <w:start w:val="3"/>
      <w:numFmt w:val="upperRoman"/>
      <w:lvlText w:val="%1."/>
      <w:lvlJc w:val="left"/>
      <w:pPr>
        <w:ind w:left="1287" w:hanging="72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4D864F55"/>
    <w:multiLevelType w:val="hybridMultilevel"/>
    <w:tmpl w:val="B2EA6648"/>
    <w:lvl w:ilvl="0" w:tplc="75C48420">
      <w:start w:val="1"/>
      <w:numFmt w:val="decimal"/>
      <w:lvlText w:val="%1."/>
      <w:lvlJc w:val="left"/>
      <w:pPr>
        <w:ind w:left="720" w:hanging="360"/>
      </w:pPr>
      <w:rPr>
        <w:rFonts w:hint="default"/>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611D569C"/>
    <w:multiLevelType w:val="hybridMultilevel"/>
    <w:tmpl w:val="E8409D46"/>
    <w:lvl w:ilvl="0" w:tplc="04220011">
      <w:start w:val="1"/>
      <w:numFmt w:val="decimal"/>
      <w:lvlText w:val="%1)"/>
      <w:lvlJc w:val="left"/>
      <w:pPr>
        <w:ind w:left="1429" w:hanging="360"/>
      </w:pPr>
      <w:rPr>
        <w:rFonts w:hint="default"/>
        <w:color w:val="auto"/>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2"/>
  </w:num>
  <w:num w:numId="2">
    <w:abstractNumId w:val="4"/>
  </w:num>
  <w:num w:numId="3">
    <w:abstractNumId w:val="0"/>
  </w:num>
  <w:num w:numId="4">
    <w:abstractNumId w:val="5"/>
  </w:num>
  <w:num w:numId="5">
    <w:abstractNumId w:val="3"/>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1A83"/>
    <w:rsid w:val="000128D2"/>
    <w:rsid w:val="001B7E92"/>
    <w:rsid w:val="00261C8B"/>
    <w:rsid w:val="00352E3B"/>
    <w:rsid w:val="003669E1"/>
    <w:rsid w:val="005605E9"/>
    <w:rsid w:val="00806A12"/>
    <w:rsid w:val="00851DCD"/>
    <w:rsid w:val="008A44C1"/>
    <w:rsid w:val="00BF6C98"/>
    <w:rsid w:val="00D217EF"/>
    <w:rsid w:val="00F21A83"/>
    <w:rsid w:val="00F240F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1BA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5605E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605E9"/>
    <w:rPr>
      <w:rFonts w:asciiTheme="majorHAnsi" w:eastAsiaTheme="majorEastAsia" w:hAnsiTheme="majorHAnsi" w:cstheme="majorBidi"/>
      <w:color w:val="2F5496" w:themeColor="accent1" w:themeShade="BF"/>
      <w:sz w:val="32"/>
      <w:szCs w:val="32"/>
    </w:rPr>
  </w:style>
  <w:style w:type="paragraph" w:styleId="a3">
    <w:name w:val="header"/>
    <w:basedOn w:val="a"/>
    <w:link w:val="a4"/>
    <w:uiPriority w:val="99"/>
    <w:semiHidden/>
    <w:unhideWhenUsed/>
    <w:rsid w:val="005605E9"/>
    <w:pPr>
      <w:tabs>
        <w:tab w:val="center" w:pos="4819"/>
        <w:tab w:val="right" w:pos="9639"/>
      </w:tabs>
      <w:spacing w:after="0" w:line="240" w:lineRule="auto"/>
    </w:pPr>
  </w:style>
  <w:style w:type="character" w:customStyle="1" w:styleId="a4">
    <w:name w:val="Верхній колонтитул Знак"/>
    <w:basedOn w:val="a0"/>
    <w:link w:val="a3"/>
    <w:uiPriority w:val="99"/>
    <w:semiHidden/>
    <w:rsid w:val="005605E9"/>
  </w:style>
  <w:style w:type="character" w:customStyle="1" w:styleId="11">
    <w:name w:val="Гіперпосилання1"/>
    <w:basedOn w:val="a0"/>
    <w:uiPriority w:val="99"/>
    <w:unhideWhenUsed/>
    <w:rsid w:val="005605E9"/>
    <w:rPr>
      <w:color w:val="0000FF"/>
      <w:u w:val="single"/>
    </w:rPr>
  </w:style>
  <w:style w:type="paragraph" w:styleId="a5">
    <w:name w:val="footnote text"/>
    <w:basedOn w:val="a"/>
    <w:link w:val="a6"/>
    <w:uiPriority w:val="99"/>
    <w:unhideWhenUsed/>
    <w:rsid w:val="005605E9"/>
    <w:pPr>
      <w:spacing w:after="0" w:line="240" w:lineRule="auto"/>
    </w:pPr>
    <w:rPr>
      <w:rFonts w:ascii="Times New Roman" w:eastAsia="Times New Roman" w:hAnsi="Times New Roman" w:cs="Times New Roman"/>
      <w:sz w:val="20"/>
      <w:szCs w:val="20"/>
      <w:lang w:eastAsia="ru-RU"/>
    </w:rPr>
  </w:style>
  <w:style w:type="character" w:customStyle="1" w:styleId="a6">
    <w:name w:val="Текст виноски Знак"/>
    <w:basedOn w:val="a0"/>
    <w:link w:val="a5"/>
    <w:uiPriority w:val="99"/>
    <w:rsid w:val="005605E9"/>
    <w:rPr>
      <w:rFonts w:ascii="Times New Roman" w:eastAsia="Times New Roman" w:hAnsi="Times New Roman" w:cs="Times New Roman"/>
      <w:sz w:val="20"/>
      <w:szCs w:val="20"/>
      <w:lang w:eastAsia="ru-RU"/>
    </w:rPr>
  </w:style>
  <w:style w:type="character" w:styleId="a7">
    <w:name w:val="footnote reference"/>
    <w:basedOn w:val="a0"/>
    <w:uiPriority w:val="99"/>
    <w:semiHidden/>
    <w:unhideWhenUsed/>
    <w:rsid w:val="005605E9"/>
    <w:rPr>
      <w:vertAlign w:val="superscript"/>
    </w:rPr>
  </w:style>
  <w:style w:type="character" w:styleId="a8">
    <w:name w:val="Strong"/>
    <w:basedOn w:val="a0"/>
    <w:uiPriority w:val="22"/>
    <w:qFormat/>
    <w:rsid w:val="005605E9"/>
    <w:rPr>
      <w:b/>
      <w:bCs/>
    </w:rPr>
  </w:style>
  <w:style w:type="character" w:styleId="a9">
    <w:name w:val="Hyperlink"/>
    <w:basedOn w:val="a0"/>
    <w:uiPriority w:val="99"/>
    <w:unhideWhenUsed/>
    <w:rsid w:val="005605E9"/>
    <w:rPr>
      <w:color w:val="0563C1" w:themeColor="hyperlink"/>
      <w:u w:val="single"/>
    </w:rPr>
  </w:style>
  <w:style w:type="character" w:customStyle="1" w:styleId="aa">
    <w:name w:val="Основний текст_"/>
    <w:basedOn w:val="a0"/>
    <w:link w:val="12"/>
    <w:rsid w:val="005605E9"/>
    <w:rPr>
      <w:rFonts w:ascii="Arial" w:eastAsia="Arial" w:hAnsi="Arial" w:cs="Arial"/>
      <w:color w:val="231F20"/>
      <w:sz w:val="20"/>
      <w:szCs w:val="20"/>
      <w:shd w:val="clear" w:color="auto" w:fill="FFFFFF"/>
    </w:rPr>
  </w:style>
  <w:style w:type="paragraph" w:customStyle="1" w:styleId="12">
    <w:name w:val="Основний текст1"/>
    <w:basedOn w:val="a"/>
    <w:link w:val="aa"/>
    <w:rsid w:val="005605E9"/>
    <w:pPr>
      <w:widowControl w:val="0"/>
      <w:shd w:val="clear" w:color="auto" w:fill="FFFFFF"/>
      <w:spacing w:after="0" w:line="269" w:lineRule="auto"/>
      <w:ind w:firstLine="300"/>
      <w:jc w:val="both"/>
    </w:pPr>
    <w:rPr>
      <w:rFonts w:ascii="Arial" w:eastAsia="Arial" w:hAnsi="Arial" w:cs="Arial"/>
      <w:color w:val="231F20"/>
      <w:sz w:val="20"/>
      <w:szCs w:val="20"/>
    </w:rPr>
  </w:style>
  <w:style w:type="character" w:customStyle="1" w:styleId="2">
    <w:name w:val="Основний текст (2)_"/>
    <w:basedOn w:val="a0"/>
    <w:link w:val="20"/>
    <w:rsid w:val="005605E9"/>
    <w:rPr>
      <w:rFonts w:ascii="Times New Roman" w:eastAsia="Times New Roman" w:hAnsi="Times New Roman" w:cs="Times New Roman"/>
      <w:sz w:val="18"/>
      <w:szCs w:val="18"/>
      <w:shd w:val="clear" w:color="auto" w:fill="FFFFFF"/>
    </w:rPr>
  </w:style>
  <w:style w:type="paragraph" w:customStyle="1" w:styleId="20">
    <w:name w:val="Основний текст (2)"/>
    <w:basedOn w:val="a"/>
    <w:link w:val="2"/>
    <w:rsid w:val="005605E9"/>
    <w:pPr>
      <w:widowControl w:val="0"/>
      <w:shd w:val="clear" w:color="auto" w:fill="FFFFFF"/>
      <w:spacing w:after="0" w:line="230" w:lineRule="auto"/>
      <w:ind w:firstLine="460"/>
      <w:jc w:val="both"/>
    </w:pPr>
    <w:rPr>
      <w:rFonts w:ascii="Times New Roman" w:eastAsia="Times New Roman" w:hAnsi="Times New Roman" w:cs="Times New Roman"/>
      <w:sz w:val="18"/>
      <w:szCs w:val="18"/>
    </w:rPr>
  </w:style>
  <w:style w:type="character" w:customStyle="1" w:styleId="rvts44">
    <w:name w:val="rvts44"/>
    <w:basedOn w:val="a0"/>
    <w:rsid w:val="005605E9"/>
  </w:style>
  <w:style w:type="paragraph" w:customStyle="1" w:styleId="21">
    <w:name w:val="Основний текст2"/>
    <w:basedOn w:val="a"/>
    <w:rsid w:val="005605E9"/>
    <w:pPr>
      <w:widowControl w:val="0"/>
      <w:shd w:val="clear" w:color="auto" w:fill="FFFFFF"/>
      <w:spacing w:after="0" w:line="295" w:lineRule="auto"/>
      <w:ind w:firstLine="360"/>
      <w:jc w:val="both"/>
    </w:pPr>
    <w:rPr>
      <w:rFonts w:ascii="Times New Roman" w:eastAsia="Times New Roman" w:hAnsi="Times New Roman" w:cs="Times New Roman"/>
    </w:rPr>
  </w:style>
  <w:style w:type="paragraph" w:styleId="ab">
    <w:name w:val="Balloon Text"/>
    <w:basedOn w:val="a"/>
    <w:link w:val="ac"/>
    <w:uiPriority w:val="99"/>
    <w:semiHidden/>
    <w:unhideWhenUsed/>
    <w:rsid w:val="00851DCD"/>
    <w:pPr>
      <w:spacing w:after="0" w:line="240" w:lineRule="auto"/>
    </w:pPr>
    <w:rPr>
      <w:rFonts w:ascii="Tahoma" w:hAnsi="Tahoma" w:cs="Tahoma"/>
      <w:sz w:val="16"/>
      <w:szCs w:val="16"/>
    </w:rPr>
  </w:style>
  <w:style w:type="character" w:customStyle="1" w:styleId="ac">
    <w:name w:val="Текст у виносці Знак"/>
    <w:basedOn w:val="a0"/>
    <w:link w:val="ab"/>
    <w:uiPriority w:val="99"/>
    <w:semiHidden/>
    <w:rsid w:val="00851DC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5605E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605E9"/>
    <w:rPr>
      <w:rFonts w:asciiTheme="majorHAnsi" w:eastAsiaTheme="majorEastAsia" w:hAnsiTheme="majorHAnsi" w:cstheme="majorBidi"/>
      <w:color w:val="2F5496" w:themeColor="accent1" w:themeShade="BF"/>
      <w:sz w:val="32"/>
      <w:szCs w:val="32"/>
    </w:rPr>
  </w:style>
  <w:style w:type="paragraph" w:styleId="a3">
    <w:name w:val="header"/>
    <w:basedOn w:val="a"/>
    <w:link w:val="a4"/>
    <w:uiPriority w:val="99"/>
    <w:semiHidden/>
    <w:unhideWhenUsed/>
    <w:rsid w:val="005605E9"/>
    <w:pPr>
      <w:tabs>
        <w:tab w:val="center" w:pos="4819"/>
        <w:tab w:val="right" w:pos="9639"/>
      </w:tabs>
      <w:spacing w:after="0" w:line="240" w:lineRule="auto"/>
    </w:pPr>
  </w:style>
  <w:style w:type="character" w:customStyle="1" w:styleId="a4">
    <w:name w:val="Верхній колонтитул Знак"/>
    <w:basedOn w:val="a0"/>
    <w:link w:val="a3"/>
    <w:uiPriority w:val="99"/>
    <w:semiHidden/>
    <w:rsid w:val="005605E9"/>
  </w:style>
  <w:style w:type="character" w:customStyle="1" w:styleId="11">
    <w:name w:val="Гіперпосилання1"/>
    <w:basedOn w:val="a0"/>
    <w:uiPriority w:val="99"/>
    <w:unhideWhenUsed/>
    <w:rsid w:val="005605E9"/>
    <w:rPr>
      <w:color w:val="0000FF"/>
      <w:u w:val="single"/>
    </w:rPr>
  </w:style>
  <w:style w:type="paragraph" w:styleId="a5">
    <w:name w:val="footnote text"/>
    <w:basedOn w:val="a"/>
    <w:link w:val="a6"/>
    <w:uiPriority w:val="99"/>
    <w:unhideWhenUsed/>
    <w:rsid w:val="005605E9"/>
    <w:pPr>
      <w:spacing w:after="0" w:line="240" w:lineRule="auto"/>
    </w:pPr>
    <w:rPr>
      <w:rFonts w:ascii="Times New Roman" w:eastAsia="Times New Roman" w:hAnsi="Times New Roman" w:cs="Times New Roman"/>
      <w:sz w:val="20"/>
      <w:szCs w:val="20"/>
      <w:lang w:eastAsia="ru-RU"/>
    </w:rPr>
  </w:style>
  <w:style w:type="character" w:customStyle="1" w:styleId="a6">
    <w:name w:val="Текст виноски Знак"/>
    <w:basedOn w:val="a0"/>
    <w:link w:val="a5"/>
    <w:uiPriority w:val="99"/>
    <w:rsid w:val="005605E9"/>
    <w:rPr>
      <w:rFonts w:ascii="Times New Roman" w:eastAsia="Times New Roman" w:hAnsi="Times New Roman" w:cs="Times New Roman"/>
      <w:sz w:val="20"/>
      <w:szCs w:val="20"/>
      <w:lang w:eastAsia="ru-RU"/>
    </w:rPr>
  </w:style>
  <w:style w:type="character" w:styleId="a7">
    <w:name w:val="footnote reference"/>
    <w:basedOn w:val="a0"/>
    <w:uiPriority w:val="99"/>
    <w:semiHidden/>
    <w:unhideWhenUsed/>
    <w:rsid w:val="005605E9"/>
    <w:rPr>
      <w:vertAlign w:val="superscript"/>
    </w:rPr>
  </w:style>
  <w:style w:type="character" w:styleId="a8">
    <w:name w:val="Strong"/>
    <w:basedOn w:val="a0"/>
    <w:uiPriority w:val="22"/>
    <w:qFormat/>
    <w:rsid w:val="005605E9"/>
    <w:rPr>
      <w:b/>
      <w:bCs/>
    </w:rPr>
  </w:style>
  <w:style w:type="character" w:styleId="a9">
    <w:name w:val="Hyperlink"/>
    <w:basedOn w:val="a0"/>
    <w:uiPriority w:val="99"/>
    <w:unhideWhenUsed/>
    <w:rsid w:val="005605E9"/>
    <w:rPr>
      <w:color w:val="0563C1" w:themeColor="hyperlink"/>
      <w:u w:val="single"/>
    </w:rPr>
  </w:style>
  <w:style w:type="character" w:customStyle="1" w:styleId="aa">
    <w:name w:val="Основний текст_"/>
    <w:basedOn w:val="a0"/>
    <w:link w:val="12"/>
    <w:rsid w:val="005605E9"/>
    <w:rPr>
      <w:rFonts w:ascii="Arial" w:eastAsia="Arial" w:hAnsi="Arial" w:cs="Arial"/>
      <w:color w:val="231F20"/>
      <w:sz w:val="20"/>
      <w:szCs w:val="20"/>
      <w:shd w:val="clear" w:color="auto" w:fill="FFFFFF"/>
    </w:rPr>
  </w:style>
  <w:style w:type="paragraph" w:customStyle="1" w:styleId="12">
    <w:name w:val="Основний текст1"/>
    <w:basedOn w:val="a"/>
    <w:link w:val="aa"/>
    <w:rsid w:val="005605E9"/>
    <w:pPr>
      <w:widowControl w:val="0"/>
      <w:shd w:val="clear" w:color="auto" w:fill="FFFFFF"/>
      <w:spacing w:after="0" w:line="269" w:lineRule="auto"/>
      <w:ind w:firstLine="300"/>
      <w:jc w:val="both"/>
    </w:pPr>
    <w:rPr>
      <w:rFonts w:ascii="Arial" w:eastAsia="Arial" w:hAnsi="Arial" w:cs="Arial"/>
      <w:color w:val="231F20"/>
      <w:sz w:val="20"/>
      <w:szCs w:val="20"/>
    </w:rPr>
  </w:style>
  <w:style w:type="character" w:customStyle="1" w:styleId="2">
    <w:name w:val="Основний текст (2)_"/>
    <w:basedOn w:val="a0"/>
    <w:link w:val="20"/>
    <w:rsid w:val="005605E9"/>
    <w:rPr>
      <w:rFonts w:ascii="Times New Roman" w:eastAsia="Times New Roman" w:hAnsi="Times New Roman" w:cs="Times New Roman"/>
      <w:sz w:val="18"/>
      <w:szCs w:val="18"/>
      <w:shd w:val="clear" w:color="auto" w:fill="FFFFFF"/>
    </w:rPr>
  </w:style>
  <w:style w:type="paragraph" w:customStyle="1" w:styleId="20">
    <w:name w:val="Основний текст (2)"/>
    <w:basedOn w:val="a"/>
    <w:link w:val="2"/>
    <w:rsid w:val="005605E9"/>
    <w:pPr>
      <w:widowControl w:val="0"/>
      <w:shd w:val="clear" w:color="auto" w:fill="FFFFFF"/>
      <w:spacing w:after="0" w:line="230" w:lineRule="auto"/>
      <w:ind w:firstLine="460"/>
      <w:jc w:val="both"/>
    </w:pPr>
    <w:rPr>
      <w:rFonts w:ascii="Times New Roman" w:eastAsia="Times New Roman" w:hAnsi="Times New Roman" w:cs="Times New Roman"/>
      <w:sz w:val="18"/>
      <w:szCs w:val="18"/>
    </w:rPr>
  </w:style>
  <w:style w:type="character" w:customStyle="1" w:styleId="rvts44">
    <w:name w:val="rvts44"/>
    <w:basedOn w:val="a0"/>
    <w:rsid w:val="005605E9"/>
  </w:style>
  <w:style w:type="paragraph" w:customStyle="1" w:styleId="21">
    <w:name w:val="Основний текст2"/>
    <w:basedOn w:val="a"/>
    <w:rsid w:val="005605E9"/>
    <w:pPr>
      <w:widowControl w:val="0"/>
      <w:shd w:val="clear" w:color="auto" w:fill="FFFFFF"/>
      <w:spacing w:after="0" w:line="295" w:lineRule="auto"/>
      <w:ind w:firstLine="360"/>
      <w:jc w:val="both"/>
    </w:pPr>
    <w:rPr>
      <w:rFonts w:ascii="Times New Roman" w:eastAsia="Times New Roman" w:hAnsi="Times New Roman" w:cs="Times New Roman"/>
    </w:rPr>
  </w:style>
  <w:style w:type="paragraph" w:styleId="ab">
    <w:name w:val="Balloon Text"/>
    <w:basedOn w:val="a"/>
    <w:link w:val="ac"/>
    <w:uiPriority w:val="99"/>
    <w:semiHidden/>
    <w:unhideWhenUsed/>
    <w:rsid w:val="00851DCD"/>
    <w:pPr>
      <w:spacing w:after="0" w:line="240" w:lineRule="auto"/>
    </w:pPr>
    <w:rPr>
      <w:rFonts w:ascii="Tahoma" w:hAnsi="Tahoma" w:cs="Tahoma"/>
      <w:sz w:val="16"/>
      <w:szCs w:val="16"/>
    </w:rPr>
  </w:style>
  <w:style w:type="character" w:customStyle="1" w:styleId="ac">
    <w:name w:val="Текст у виносці Знак"/>
    <w:basedOn w:val="a0"/>
    <w:link w:val="ab"/>
    <w:uiPriority w:val="99"/>
    <w:semiHidden/>
    <w:rsid w:val="00851DC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reyestr.court.gov.ua/Review/121753942" TargetMode="External"/><Relationship Id="rId3" Type="http://schemas.openxmlformats.org/officeDocument/2006/relationships/hyperlink" Target="https://doi.org/10.32840/1813-338X-2020.2.2" TargetMode="External"/><Relationship Id="rId7" Type="http://schemas.openxmlformats.org/officeDocument/2006/relationships/hyperlink" Target="https://doi.org/10.24144/2307-3322.2024.86.2.13" TargetMode="External"/><Relationship Id="rId2" Type="http://schemas.openxmlformats.org/officeDocument/2006/relationships/hyperlink" Target="https://doi.org/10.32782/2524-0374/2023-1/165" TargetMode="External"/><Relationship Id="rId1" Type="http://schemas.openxmlformats.org/officeDocument/2006/relationships/hyperlink" Target="https://doi.org/10.32782/2524-0374/2023-1/165" TargetMode="External"/><Relationship Id="rId6" Type="http://schemas.openxmlformats.org/officeDocument/2006/relationships/hyperlink" Target="https://doi.org/10.31558/2786-5835.2021.2.2" TargetMode="External"/><Relationship Id="rId11" Type="http://schemas.openxmlformats.org/officeDocument/2006/relationships/hyperlink" Target="http://reyestr.court.gov.ua/Review/83537993" TargetMode="External"/><Relationship Id="rId5" Type="http://schemas.openxmlformats.org/officeDocument/2006/relationships/hyperlink" Target="https://reyestr.court.gov.ua/Review/95213197" TargetMode="External"/><Relationship Id="rId10" Type="http://schemas.openxmlformats.org/officeDocument/2006/relationships/hyperlink" Target="http://reyestr.court.gov.ua/Review/76860058" TargetMode="External"/><Relationship Id="rId4" Type="http://schemas.openxmlformats.org/officeDocument/2006/relationships/hyperlink" Target="https://doi.org/10.31558/2786-5835.2021.2.2" TargetMode="External"/><Relationship Id="rId9" Type="http://schemas.openxmlformats.org/officeDocument/2006/relationships/hyperlink" Target="https://reyestr.court.gov.ua/Review/121753942"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F66DD7-1517-4D9E-A2A1-AD494488EE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25</Pages>
  <Words>26830</Words>
  <Characters>15294</Characters>
  <Application>Microsoft Office Word</Application>
  <DocSecurity>0</DocSecurity>
  <Lines>127</Lines>
  <Paragraphs>84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42040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Olha Zozuliak</dc:creator>
  <cp:keywords/>
  <dc:description/>
  <cp:lastModifiedBy>TGP</cp:lastModifiedBy>
  <cp:revision>7</cp:revision>
  <dcterms:created xsi:type="dcterms:W3CDTF">2025-01-27T09:45:00Z</dcterms:created>
  <dcterms:modified xsi:type="dcterms:W3CDTF">2025-01-27T12:51:00Z</dcterms:modified>
</cp:coreProperties>
</file>